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Times New Roman"/>
          <w:b/>
          <w:bCs/>
          <w:i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附件5     </w:t>
      </w:r>
      <w:r>
        <w:rPr>
          <w:rFonts w:hint="eastAsia" w:ascii="宋体" w:hAnsi="宋体" w:eastAsia="宋体" w:cs="Times New Roman"/>
          <w:b/>
          <w:bCs/>
          <w:sz w:val="24"/>
        </w:rPr>
        <w:t>新疆农业大学大学生创新项目结题验收</w:t>
      </w:r>
      <w:r>
        <w:rPr>
          <w:rFonts w:hint="eastAsia" w:ascii="宋体" w:hAnsi="宋体" w:eastAsia="宋体" w:cs="Times New Roman"/>
          <w:b/>
          <w:bCs/>
          <w:i/>
          <w:sz w:val="32"/>
          <w:szCs w:val="32"/>
          <w:u w:val="single"/>
        </w:rPr>
        <w:t>评分参考标准</w:t>
      </w:r>
    </w:p>
    <w:p>
      <w:pPr>
        <w:spacing w:line="240" w:lineRule="exact"/>
        <w:jc w:val="center"/>
        <w:rPr>
          <w:rFonts w:hint="eastAsia" w:ascii="宋体" w:hAnsi="宋体" w:eastAsia="宋体" w:cs="Times New Roman"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5"/>
        <w:gridCol w:w="565"/>
        <w:gridCol w:w="616"/>
        <w:gridCol w:w="4725"/>
        <w:gridCol w:w="1165"/>
        <w:gridCol w:w="1470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17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项目名称</w:t>
            </w:r>
          </w:p>
        </w:tc>
        <w:tc>
          <w:tcPr>
            <w:tcW w:w="4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项目负责人</w:t>
            </w:r>
          </w:p>
        </w:tc>
        <w:tc>
          <w:tcPr>
            <w:tcW w:w="20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6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项目</w:t>
            </w:r>
          </w:p>
        </w:tc>
        <w:tc>
          <w:tcPr>
            <w:tcW w:w="5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评分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分 值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分值档次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03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项目完成情况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选题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意义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项目研究有较高的理论意义或实际价值，可以明显改变对前人工作的认识，或可以明显提高效率、降低成本等（9-10分）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75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项目研究有一定的理论意义或实际价值，可以在某种程度上改变或提高对前人工作的认识，或可以提高效率、降低成本等（7-8分）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23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项目研究有一定的理论意义或实际价值，可以促进人们改变或提高对前人工作的认识，或可以促进人们提高效率、降低成本等（5-6分）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77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项目研究的理论意义或实际价值不太明显（3-4分）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项目研究没有理论意义或实际价值（1-2分）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完成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很好地、成功地完成了预期研究目标，工作量大（18-20分）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很好地完成了预期研究目标，工作量比较大（14-17分）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完成了预期研究目标，工作量尚可（10-13分）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初步完成了预期研究目标，工作量较小（6-9分）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没有完成预期研究目标，工作量不足（1-5分）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成果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20分</w:t>
            </w:r>
          </w:p>
        </w:tc>
        <w:tc>
          <w:tcPr>
            <w:tcW w:w="736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结题材料质量高、规范；发表论文已被省级期刊接收（以录用通知为准）（或刊出）；专利申请已被受理；开发样品或测试版已可以调试顺利通过；参加学术竞赛成绩优秀（18-20分）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05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结题材料质量较高、比较规范；发表论文正在投稿；开发样品或测试版已可以调试通过；参加学术竞赛获得成绩（15-17分）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76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结题材料质量尚可、比较规范；开发样品或测试版已初步调试通过（12-14分）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3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结题材料质量一般；开发样例演示可以通过，但问题较多（8-11分）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4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结题材料质量较差、不够规范；开发样例演示无法通过（1-7分）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创新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在理论或方法上有较大创新，对前人工作有较大改进或发展（9-10分）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在理论或方法上有一定的创新，对前人工作有一定的改进或发展（7-8分）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在理论或方法上没有创新，但对前人工作的有改进或发展（5-6分）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在理论或方法上有新意（3-4分）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在理论或方法上没有新意（1-2分）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经费管理情况</w:t>
            </w:r>
          </w:p>
        </w:tc>
        <w:tc>
          <w:tcPr>
            <w:tcW w:w="5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经费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使用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经费使用合理（8-10分）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经费使用比较合理（6-7分）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经费使用不合理（3-5分）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经费管理混乱（1-2分）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结项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答辩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情况</w:t>
            </w:r>
          </w:p>
        </w:tc>
        <w:tc>
          <w:tcPr>
            <w:tcW w:w="5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答辩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答辩时间控制好，表述清楚；回答提问简明扼要，且准确（25-30分）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答辩时间控制好，表述较清楚；回答提问简明扼要，且正确（19-24分）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答辩时间控制较好，表述较清楚；回答提问简明扼要，且基本正确（13-18分）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答辩时间控制不太好，表述不太清楚；回答提问罗嗦繁冗，且不太合理（7-12分）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答辩时间控制不好，表述较差；回答提问罗嗦繁冗，且不正确（1-6分）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289" w:hRule="exact"/>
          <w:jc w:val="center"/>
        </w:trPr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分</w:t>
            </w:r>
          </w:p>
        </w:tc>
        <w:tc>
          <w:tcPr>
            <w:tcW w:w="7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279" w:hRule="exact"/>
          <w:jc w:val="center"/>
        </w:trPr>
        <w:tc>
          <w:tcPr>
            <w:tcW w:w="9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18"/>
                <w:szCs w:val="18"/>
              </w:rPr>
              <w:t>整体评价：  □优秀      □良好       □合格    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9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18"/>
                <w:szCs w:val="18"/>
              </w:rPr>
              <w:t>评审专家签字：</w:t>
            </w:r>
          </w:p>
        </w:tc>
      </w:tr>
    </w:tbl>
    <w:p>
      <w:pPr>
        <w:spacing w:line="280" w:lineRule="exact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 xml:space="preserve"> 注：1.每项评分由评审专家组讨论确定后打分，答辩秘书记录于本表。2.评分标准换算为等级制：优秀，90-100；良好80-89；合格，60-79分；不通过，0-59分，任何一项“评价指标”得“0”分的，项目均为不通过。 </w:t>
      </w:r>
    </w:p>
    <w:p>
      <w:pPr>
        <w:rPr>
          <w:rFonts w:ascii="Times New Roman" w:hAnsi="Times New Roman" w:eastAsia="宋体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6"/>
        <w:rFonts w:ascii="Times New Roman" w:hAnsi="Times New Roman" w:eastAsia="宋体" w:cs="Times New Roman"/>
      </w:rPr>
      <w:t>7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42A49"/>
    <w:rsid w:val="1C14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2020-05-02T10:56:00Z</dcterms:created>
  <dc:creator>Administrator</dc:creator>
  <cp:lastModifiedBy>Administrator</cp:lastModifiedBy>
  <dcterms:modified xsi:type="dcterms:W3CDTF">2020-05-02T10:57:02Z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