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default" w:ascii="Times New Roman" w:hAnsi="Times New Roman" w:eastAsia="黑体" w:cs="Times New Roman"/>
          <w:b/>
          <w:sz w:val="32"/>
          <w:szCs w:val="32"/>
        </w:rPr>
      </w:pPr>
      <w:bookmarkStart w:id="0" w:name="_GoBack"/>
      <w:bookmarkEnd w:id="0"/>
      <w:r>
        <w:rPr>
          <w:rFonts w:hint="default" w:ascii="Times New Roman" w:hAnsi="Times New Roman" w:eastAsia="黑体" w:cs="Times New Roman"/>
          <w:sz w:val="32"/>
          <w:szCs w:val="32"/>
        </w:rPr>
        <w:t>附件：</w:t>
      </w:r>
    </w:p>
    <w:p>
      <w:pPr>
        <w:spacing w:line="48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新疆农业大学</w:t>
      </w:r>
      <w:r>
        <w:rPr>
          <w:rFonts w:hint="default" w:ascii="Times New Roman" w:hAnsi="Times New Roman" w:eastAsia="方正小标宋简体" w:cs="Times New Roman"/>
          <w:b w:val="0"/>
          <w:bCs/>
          <w:sz w:val="44"/>
          <w:szCs w:val="44"/>
          <w:lang w:val="en-US" w:eastAsia="zh-CN"/>
        </w:rPr>
        <w:t>2020</w:t>
      </w:r>
      <w:r>
        <w:rPr>
          <w:rFonts w:hint="default" w:ascii="Times New Roman" w:hAnsi="Times New Roman" w:eastAsia="方正小标宋简体" w:cs="Times New Roman"/>
          <w:b w:val="0"/>
          <w:bCs/>
          <w:sz w:val="44"/>
          <w:szCs w:val="44"/>
        </w:rPr>
        <w:t>届校级优秀本科毕业论文（设计）汇总表</w:t>
      </w:r>
    </w:p>
    <w:tbl>
      <w:tblPr>
        <w:tblStyle w:val="5"/>
        <w:tblW w:w="14006" w:type="dxa"/>
        <w:jc w:val="center"/>
        <w:tblInd w:w="0" w:type="dxa"/>
        <w:tblLayout w:type="fixed"/>
        <w:tblCellMar>
          <w:top w:w="0" w:type="dxa"/>
          <w:left w:w="108" w:type="dxa"/>
          <w:bottom w:w="0" w:type="dxa"/>
          <w:right w:w="108" w:type="dxa"/>
        </w:tblCellMar>
      </w:tblPr>
      <w:tblGrid>
        <w:gridCol w:w="646"/>
        <w:gridCol w:w="1904"/>
        <w:gridCol w:w="2195"/>
        <w:gridCol w:w="1095"/>
        <w:gridCol w:w="6250"/>
        <w:gridCol w:w="1916"/>
      </w:tblGrid>
      <w:tr>
        <w:tblPrEx>
          <w:tblLayout w:type="fixed"/>
          <w:tblCellMar>
            <w:top w:w="0" w:type="dxa"/>
            <w:left w:w="108" w:type="dxa"/>
            <w:bottom w:w="0" w:type="dxa"/>
            <w:right w:w="108" w:type="dxa"/>
          </w:tblCellMar>
        </w:tblPrEx>
        <w:trPr>
          <w:trHeight w:val="397" w:hRule="exact"/>
          <w:tblHeader/>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序号</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学</w:t>
            </w:r>
            <w:r>
              <w:rPr>
                <w:rFonts w:hint="default" w:ascii="Times New Roman" w:hAnsi="Times New Roman" w:eastAsia="仿宋_GB2312" w:cs="Times New Roman"/>
                <w:b/>
                <w:bCs/>
                <w:kern w:val="0"/>
                <w:sz w:val="18"/>
                <w:szCs w:val="18"/>
                <w:lang w:val="en-US" w:eastAsia="zh-CN"/>
              </w:rPr>
              <w:t xml:space="preserve">  </w:t>
            </w:r>
            <w:r>
              <w:rPr>
                <w:rFonts w:hint="default" w:ascii="Times New Roman" w:hAnsi="Times New Roman" w:eastAsia="仿宋_GB2312" w:cs="Times New Roman"/>
                <w:b/>
                <w:bCs/>
                <w:kern w:val="0"/>
                <w:sz w:val="18"/>
                <w:szCs w:val="18"/>
              </w:rPr>
              <w:t>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学生姓名</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学</w:t>
            </w:r>
            <w:r>
              <w:rPr>
                <w:rFonts w:hint="default" w:ascii="Times New Roman" w:hAnsi="Times New Roman" w:eastAsia="仿宋_GB2312" w:cs="Times New Roman"/>
                <w:b/>
                <w:bCs/>
                <w:kern w:val="0"/>
                <w:sz w:val="18"/>
                <w:szCs w:val="18"/>
                <w:lang w:val="en-US" w:eastAsia="zh-CN"/>
              </w:rPr>
              <w:t xml:space="preserve">  </w:t>
            </w:r>
            <w:r>
              <w:rPr>
                <w:rFonts w:hint="default" w:ascii="Times New Roman" w:hAnsi="Times New Roman" w:eastAsia="仿宋_GB2312" w:cs="Times New Roman"/>
                <w:b/>
                <w:bCs/>
                <w:kern w:val="0"/>
                <w:sz w:val="18"/>
                <w:szCs w:val="18"/>
              </w:rPr>
              <w:t>号</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论文题目</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指导教师</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草业与环境科学学院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吴春霞</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220160932</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水分胁迫对竹柳的影响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王文全</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草业与环境科学学院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马静</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220160939</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生物炭基肥对棉田土壤酶活性的影响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朱新萍</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草业与环境科学学院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沙涛</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220160878</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吐鲁番地区不同品种葡萄中微量元素研究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罗艳丽</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草业与环境科学学院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吴亚楠</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220160960</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沙漠早春开花植物细叶鸢尾的传粉生物学</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吉乃提汗</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马木提</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草业与环境科学学院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衡瑞</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220160995</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2000-2018年古尔班通古特沙漠植被净生产力的动态变化分析</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张丽</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草业与环境科学学院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马浩南</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220160839</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库鲁斯台河山前丘陵区侵蚀沟发育特征及评价</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张文太</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草业与环境科学学院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于涛</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220160784</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准噶尔盆地荒漠草地反照率变化及其与植被NDVI的响应</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井长青</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草业与环境科学学院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吐克孜</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乌麦尔</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220150737</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超干贮藏对无芒雀麦种子活力和生理特性的影响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隋晓青</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草业与环境科学学院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热孜燕</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阿不都外力</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220150709</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温度和干旱胁迫对伊犁绢蒿种子萌发的影响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陈爱萍</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阿依尔斯</w:t>
            </w:r>
            <w:r>
              <w:rPr>
                <w:rFonts w:hint="eastAsia" w:ascii="Times New Roman" w:hAnsi="Times New Roman" w:eastAsia="仿宋_GB2312" w:cs="Times New Roman"/>
                <w:i w:val="0"/>
                <w:color w:val="000000"/>
                <w:kern w:val="0"/>
                <w:sz w:val="18"/>
                <w:szCs w:val="18"/>
                <w:highlight w:val="none"/>
                <w:u w:val="none"/>
                <w:lang w:val="en-US" w:eastAsia="zh-CN" w:bidi="ar"/>
              </w:rPr>
              <w:t>·</w:t>
            </w:r>
            <w:r>
              <w:rPr>
                <w:rFonts w:hint="default" w:ascii="Times New Roman" w:hAnsi="Times New Roman" w:eastAsia="仿宋_GB2312" w:cs="Times New Roman"/>
                <w:i w:val="0"/>
                <w:color w:val="000000"/>
                <w:kern w:val="0"/>
                <w:sz w:val="18"/>
                <w:szCs w:val="18"/>
                <w:highlight w:val="none"/>
                <w:u w:val="none"/>
                <w:lang w:val="en-US" w:eastAsia="zh-CN" w:bidi="ar"/>
              </w:rPr>
              <w:t>波拉提汗</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220152660</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尼勒克县耕地资源可持续利用评价研究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乃吉木丁</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艾孜孜</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刘争伟</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220162926</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乌鲁木齐市建设用地需求预测分析</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邵战林</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姜卓</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220162913</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吉林省德惠市耕地保护分析</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赵俊</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马俊梅</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220162969</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新媒体视域下社区教育现状的调查研究——以老沙湾路社区为例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饶凤艳</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刘小康</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220162963</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新疆农业大学学生志愿服务参与模式与激励机制研究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吴文婕</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阿合地达尔</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叶尔肯</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220163052</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返乡大学生创业状况调查分析——以乌市达坂城区阿克苏乡为例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王华丽</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16</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王菊香</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220163106</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德邦快递公司快递员工作满意度调查分析——以福建省泉州市安海小区为例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海力且木</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斯依提</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17</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汪静</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220163118</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大学生村官工作压力对工作质量影响的调查分析——以玛纳斯县为例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李莉</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18</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汤垚</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220163011</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涉黑涉恶型"套路贷"犯罪认定的刑法分析——以冉亮敲诈勒索等案为例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杨立敏</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19</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王彩娟</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220163023</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11"/>
                <w:kern w:val="0"/>
                <w:sz w:val="18"/>
                <w:szCs w:val="18"/>
                <w:u w:val="none"/>
                <w:lang w:val="en-US" w:eastAsia="zh-CN" w:bidi="ar"/>
              </w:rPr>
              <w:t>论新刑诉法背景下监察权与检察权的衔接——以河北省原副省长李谦受贿一案为例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王颖</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20</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付霞</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220163179</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基于房价收入比的住房支付能力调查分析——以沙依巴克区为例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黄静</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21</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帕丽扎</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吐尔逊巴依</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220163164</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休闲养老型乡村建设规划设计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吴彦山</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管理学院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赵一丹</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220163155</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活力康氧型居住区规划设计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董潇</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23</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国际教育学院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张文乐</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220163877</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海南航空股份有限公司营销策略研究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穆哈拜提</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帕热提</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24</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国际教育学院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孙欣</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220163878</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一带一路背景下新疆霍尔果斯口岸跨境货运发展现状调查分析—以中欧班列为例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张庆萍</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25</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国际教育学院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董存霞</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220163822</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校园招聘有效性分析——基于大学生和特变电工新能源公司的调查</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spacing w:val="-6"/>
                <w:kern w:val="0"/>
                <w:sz w:val="18"/>
                <w:szCs w:val="18"/>
                <w:highlight w:val="none"/>
                <w:u w:val="none"/>
                <w:lang w:val="en-US" w:eastAsia="zh-CN" w:bidi="ar"/>
              </w:rPr>
              <w:t>莎拉木江</w:t>
            </w:r>
            <w:r>
              <w:rPr>
                <w:rFonts w:hint="eastAsia" w:ascii="Times New Roman" w:hAnsi="Times New Roman" w:eastAsia="仿宋_GB2312" w:cs="Times New Roman"/>
                <w:i w:val="0"/>
                <w:color w:val="000000"/>
                <w:spacing w:val="-6"/>
                <w:kern w:val="0"/>
                <w:sz w:val="18"/>
                <w:szCs w:val="18"/>
                <w:highlight w:val="none"/>
                <w:u w:val="none"/>
                <w:lang w:val="en-US" w:eastAsia="zh-CN" w:bidi="ar"/>
              </w:rPr>
              <w:t>·</w:t>
            </w:r>
            <w:r>
              <w:rPr>
                <w:rFonts w:hint="default" w:ascii="Times New Roman" w:hAnsi="Times New Roman" w:eastAsia="仿宋_GB2312" w:cs="Times New Roman"/>
                <w:i w:val="0"/>
                <w:color w:val="000000"/>
                <w:spacing w:val="-6"/>
                <w:kern w:val="0"/>
                <w:sz w:val="18"/>
                <w:szCs w:val="18"/>
                <w:highlight w:val="none"/>
                <w:u w:val="none"/>
                <w:lang w:val="en-US" w:eastAsia="zh-CN" w:bidi="ar"/>
              </w:rPr>
              <w:t>买提尼亚孜</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26</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国际教育学院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陈婧宇</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220163827</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薪酬制度在绩效考核中的应用研究</w:t>
            </w:r>
            <w:r>
              <w:rPr>
                <w:rFonts w:hint="default" w:ascii="Times New Roman" w:hAnsi="Times New Roman" w:eastAsia="仿宋_GB2312" w:cs="Times New Roman"/>
                <w:i w:val="0"/>
                <w:color w:val="000000"/>
                <w:kern w:val="0"/>
                <w:sz w:val="18"/>
                <w:szCs w:val="18"/>
                <w:highlight w:val="none"/>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以新疆城建公司为例</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董潇</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27</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机电工程学院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宋雨成</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220161648</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基于数字统计量的触电时段的判定研究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李春兰</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28</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机电工程学院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何俊良</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220161656</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20MW光伏发电站下垂控制策略优化研究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李春兰、王长云</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29</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机电工程学院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段祥帅</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220161442</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自走式红花采摘机器人的设计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张振国</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30</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机电工程学院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魏军琴</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220180064</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谷物脱粒机的设计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肉孜</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阿木提</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31</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机电工程学院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齐付强</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220180079</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油葵收获割台的设计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张学军、靳伟</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32</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机电工程学院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张强</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220161418</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洋葱剥皮机的设计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宋玲</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33</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机电工程学院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倪飞龙</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220161692</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1.5MW风力发电机组偏航减速器的结构设计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谢建华</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34</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机电工程学院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拜合拉木</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沙迪克</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220161511</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拔棉杆机的设计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艾力</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哈斯木</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35</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机电工程学院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木合塔尔</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艾木都拉</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220161512</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巴楚县新盛</w:t>
            </w:r>
            <w:r>
              <w:rPr>
                <w:rFonts w:hint="default" w:ascii="Times New Roman" w:hAnsi="Times New Roman" w:eastAsia="仿宋_GB2312" w:cs="Times New Roman"/>
                <w:i w:val="0"/>
                <w:color w:val="000000"/>
                <w:kern w:val="0"/>
                <w:sz w:val="18"/>
                <w:szCs w:val="18"/>
                <w:u w:val="none"/>
                <w:lang w:val="en-US" w:eastAsia="zh-CN" w:bidi="ar"/>
              </w:rPr>
              <w:t>西部铁牛农机专业合作社发展现状及展望</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吕全贵</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36</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计算机与信息工程学院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隗东平</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220143001</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智能电梯控制系统的设计与实现</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古丽米拉</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37</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计算机与信息工程学院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于世林</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220163527</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基于单片机的数据采集和无线数据传输系统设计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古丽米拉</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38</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计算机与信息工程学院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丁多斌</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220163468</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基于STM32F103RCT6四轴无人机自主巡线设计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冯向萍</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39</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计算机与信息工程学院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张金博</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220161259</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基于hadoop的一卡通数据分析系统研建</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王业</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40</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计算机与信息工程学院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李雨晴</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220163471</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基于深度学习的农作物病害检测研究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陈燕红</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41</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计算机与信息工程学院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文万强</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220163380</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阿克苏苹果品种智能识别技术研究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张太红</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42</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计算机与信息工程学院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吴健</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220163372</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阿克苏核桃品种智能识别技术研究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张太红</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43</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计算机与信息工程学院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付鸿林</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220163390</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吐鲁番葡萄干品种智能识别技术研究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张太红</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44</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计算机与信息工程学院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任国庆</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220163539</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基于ROS的超市智能服务机器人设计与实现</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王磊</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45</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计算机与信息工程学院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李琳</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220163555</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自动称重系统的设计与实现</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柯春艳</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46</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计算机与信息工程学院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张瑞志</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220163545</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智能禽舍控制系统设计</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李欣欣</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47</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刘霞</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220160732</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光周期对葡萄蛀果蛾生长发育的影响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阿地力</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沙塔尔</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48</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王雪</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220160598</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基于遥感的不同植被指数的对比分析</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孙倩</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49</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麦迪娜</w:t>
            </w:r>
            <w:r>
              <w:rPr>
                <w:rFonts w:hint="eastAsia" w:ascii="Times New Roman" w:hAnsi="Times New Roman" w:eastAsia="仿宋_GB2312" w:cs="Times New Roman"/>
                <w:i w:val="0"/>
                <w:color w:val="000000"/>
                <w:kern w:val="0"/>
                <w:sz w:val="18"/>
                <w:szCs w:val="18"/>
                <w:highlight w:val="none"/>
                <w:u w:val="none"/>
                <w:lang w:val="en-US" w:eastAsia="zh-CN" w:bidi="ar"/>
              </w:rPr>
              <w:t>·</w:t>
            </w:r>
            <w:r>
              <w:rPr>
                <w:rFonts w:hint="default" w:ascii="Times New Roman" w:hAnsi="Times New Roman" w:eastAsia="仿宋_GB2312" w:cs="Times New Roman"/>
                <w:i w:val="0"/>
                <w:color w:val="000000"/>
                <w:kern w:val="0"/>
                <w:sz w:val="18"/>
                <w:szCs w:val="18"/>
                <w:highlight w:val="none"/>
                <w:u w:val="none"/>
                <w:lang w:val="en-US" w:eastAsia="zh-CN" w:bidi="ar"/>
              </w:rPr>
              <w:t>买海提</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220150634</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和田玫瑰休眠枝扦插影响因子研究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安晓芹</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50</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阿不都外力</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吐尔洪</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220132936</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土壤干旱胁迫对黑果腺肋花楸幼株生理生化特性的影响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艾力江</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麦麦提</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51</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殷悦</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220160652</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新疆乌鲁木齐和平园景观改造</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杨涛</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52</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艾克拜尔</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图尔荪</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220150433</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三坪地区四个南瓜品种品质比较分析</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秦勇</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53</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如孜尼亚孜</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热则克</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123231136</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吐鲁番高温环境下杏树光合日变化研究</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廖康</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54</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毛丽达木</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阿哈提</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220150411</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不同浓度的CPPU处理</w:t>
            </w:r>
            <w:r>
              <w:rPr>
                <w:rFonts w:hint="default" w:ascii="Times New Roman" w:hAnsi="Times New Roman" w:eastAsia="仿宋_GB2312" w:cs="Times New Roman"/>
                <w:i w:val="0"/>
                <w:color w:val="000000"/>
                <w:kern w:val="0"/>
                <w:sz w:val="18"/>
                <w:szCs w:val="18"/>
                <w:u w:val="none"/>
                <w:lang w:val="en-US" w:eastAsia="zh-CN" w:bidi="ar"/>
              </w:rPr>
              <w:t>对无核白葡萄果实品质的影响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李亚兰</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55</w:t>
            </w:r>
          </w:p>
        </w:tc>
        <w:tc>
          <w:tcPr>
            <w:tcW w:w="190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张攀</w:t>
            </w:r>
          </w:p>
        </w:tc>
        <w:tc>
          <w:tcPr>
            <w:tcW w:w="10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220160449</w:t>
            </w:r>
          </w:p>
        </w:tc>
        <w:tc>
          <w:tcPr>
            <w:tcW w:w="625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辣椒减施氮肥用有机肥替代对其生长的影响</w:t>
            </w:r>
          </w:p>
        </w:tc>
        <w:tc>
          <w:tcPr>
            <w:tcW w:w="1916"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高杰</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曾玉戈</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220160450</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5种蔷薇科野生果树花粉粒微观形态的研究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耿文娟</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57</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褚佳瑶</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220160452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吐鲁番市葡萄架式改造基本情况调查</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周龙</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58</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杨华根</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220160451</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野苹果根蘖苗留优与移栽培育试验</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刘立强</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59</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祖丽胡玛</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艾尼瓦尔</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220160466</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CaCl</w:t>
            </w:r>
            <w:r>
              <w:rPr>
                <w:rFonts w:hint="default" w:ascii="Times New Roman" w:hAnsi="Times New Roman" w:eastAsia="仿宋_GB2312" w:cs="Times New Roman"/>
                <w:i w:val="0"/>
                <w:color w:val="000000"/>
                <w:kern w:val="0"/>
                <w:sz w:val="18"/>
                <w:szCs w:val="18"/>
                <w:u w:val="none"/>
                <w:vertAlign w:val="subscript"/>
                <w:lang w:val="en-US" w:eastAsia="zh-CN" w:bidi="ar"/>
              </w:rPr>
              <w:t>2</w:t>
            </w:r>
            <w:r>
              <w:rPr>
                <w:rFonts w:hint="default" w:ascii="Times New Roman" w:hAnsi="Times New Roman" w:eastAsia="仿宋_GB2312" w:cs="Times New Roman"/>
                <w:i w:val="0"/>
                <w:color w:val="000000"/>
                <w:kern w:val="0"/>
                <w:sz w:val="18"/>
                <w:szCs w:val="18"/>
                <w:u w:val="none"/>
                <w:lang w:val="en-US" w:eastAsia="zh-CN" w:bidi="ar"/>
              </w:rPr>
              <w:t>处理对亚低温胁迫下辣椒种子萌发的影响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姜秀梅</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60</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古丽胡买尔</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塔依尔</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220160488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不同营养液配方对樱桃番茄生长发育、产量和品质的影响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吴慧</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61</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林学与园艺学院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杨承昊</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220160537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保水剂对和田沙漠温室番茄生长、产量及品质的影响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吴慧</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62</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刘志刚</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220160286</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梭梭HaNAC2/3/38/42转录因子互作分析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张桦</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63</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董一帆</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220160156</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春小麦脂肪氧化酶TaLox-B位点等位变异检测及分布规律</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耿洪伟</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64</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樊霞</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220160379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玉米生物诱导单倍体母本被诱导性状的遗传分析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吴鹏昊</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65</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雷慧辰</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220160157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三种植物激素对棉花胚珠生长发育的影响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陈全家</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秦璨</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220160199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苹果枝枯病拮抗菌的筛选及鉴定</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罗明</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67</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张力仁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220160193</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两种苜蓿病毒的鉴定</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李克梅</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68</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段松江</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220160139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株距对76cm等行距机采棉生长发育及产量的影响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张巨松</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69</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陈利军</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220160155</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密度和灌量对76cm等行距机采棉生长发育及产量形成影响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汤秋香</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70</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崔丹丹</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220160207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不同持效期迷向丝防治梨小食心虫效果比较研究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李亦松</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71</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秦子昕</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220160216</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不同烟碱类杀虫剂与增效剂混配对棉蚜的毒力测定</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路伟</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72</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数理学院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叶森</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塔了道别克</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220162763</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交叉立方体和折叠交叉立方体可靠性分析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蔡学鹏</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73</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数理学院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李彪</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220162869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Copula-VaR模型在时间序列联动性分析中的应用</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徐刚刚</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74</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数理学院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赵世界</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220162832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一类有潜伏期的SEIS模型的稳定性分析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孙丹丹</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75</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数理学院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姜多</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220162838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基于因子分析的新疆农产品加工产业竞争力研究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张瑜</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中国语言学院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齐润卿</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220163295</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维吾尔语专业二、三年级学生维吾尔语名词学习偏误分析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杨文革</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77</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中国语言学院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秦浩然</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220163282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浅析汉译维中时态的选择</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马雪梅</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78</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中国语言学院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安子璐</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220163287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维吾尔谚语的汉译方法浅析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马雪梅</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79</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中国语言学院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卫庄楠</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220163247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汉维翻译之加词法研究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张春梅</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80</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中国语言学院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麦麦提江</w:t>
            </w:r>
            <w:r>
              <w:rPr>
                <w:rFonts w:hint="eastAsia" w:ascii="Times New Roman" w:hAnsi="Times New Roman" w:eastAsia="仿宋_GB2312" w:cs="Times New Roman"/>
                <w:i w:val="0"/>
                <w:color w:val="000000"/>
                <w:kern w:val="0"/>
                <w:sz w:val="18"/>
                <w:szCs w:val="18"/>
                <w:highlight w:val="none"/>
                <w:u w:val="none"/>
                <w:lang w:val="en-US" w:eastAsia="zh-CN" w:bidi="ar"/>
              </w:rPr>
              <w:t>·</w:t>
            </w:r>
            <w:r>
              <w:rPr>
                <w:rFonts w:hint="default" w:ascii="Times New Roman" w:hAnsi="Times New Roman" w:eastAsia="仿宋_GB2312" w:cs="Times New Roman"/>
                <w:i w:val="0"/>
                <w:color w:val="000000"/>
                <w:kern w:val="0"/>
                <w:sz w:val="18"/>
                <w:szCs w:val="18"/>
                <w:highlight w:val="none"/>
                <w:u w:val="none"/>
                <w:lang w:val="en-US" w:eastAsia="zh-CN" w:bidi="ar"/>
              </w:rPr>
              <w:t>艾赛米丁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220163229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《辉煌：新时代中国为世界贡献了什么》部分章节的翻译</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穆克热木</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尼亚孜</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81</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动物科学学院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米娜</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奴尔太</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220151047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补喂精氨酸对种公马精液品质的影响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李晓斌</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82</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动物科学学院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赵尚尚</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220161153</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SPRY1基因插入/缺失（InDel）对新疆褐牛泌乳性状的遗传效应分析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黄锡霞</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83</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动物科学学院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夏木西努</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艾买尔</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220150981</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新疆褐牛生产寿命的影响因素分析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帕尔哈提</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木铁力甫</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84</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动物科学学院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唐碧徽</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220161058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高、低产蛋量新疆伊犁鹅卵巢组织转录组分析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李海英</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85</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动物科学学院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曲呼拉</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赛依提哈孜</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220163958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伊犁马1000m速度赛各赛段步态参数与步速相关性研究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孟军</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交通与物流工程学院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陈梦瑶</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220161554</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疫情前后伊宁市居民出行方式选择行为研究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朱兴林</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87</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交通与物流工程学院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董春显</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220161558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G315线拉依苏良种场至策勒达玛沟段公路养护大中修一阶段施工图设计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刘尊青</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88</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交通与物流工程学院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马合赞</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巴合提</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220151514</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乌鲁木齐市豫宾路互通式立体交叉交通安全设施设计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珠力克</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89</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交通与物流工程学院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郑泽</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220153652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新疆航空货运网络特点研究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葛炬</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90</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9"/>
                <w:rFonts w:hint="default" w:ascii="Times New Roman" w:hAnsi="Times New Roman" w:eastAsia="仿宋_GB2312" w:cs="Times New Roman"/>
                <w:sz w:val="18"/>
                <w:szCs w:val="18"/>
                <w:lang w:val="en-US" w:eastAsia="zh-CN" w:bidi="ar"/>
              </w:rPr>
              <w:t>吴柳</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220162723</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9"/>
                <w:rFonts w:hint="default" w:ascii="Times New Roman" w:hAnsi="Times New Roman" w:eastAsia="仿宋_GB2312" w:cs="Times New Roman"/>
                <w:sz w:val="18"/>
                <w:szCs w:val="18"/>
                <w:lang w:val="en-US" w:eastAsia="zh-CN" w:bidi="ar"/>
              </w:rPr>
              <w:t>添加酵母多糖发酵蛇龙珠干红葡萄酒香气特点分析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赵宾宾</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91</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9"/>
                <w:rFonts w:hint="default" w:ascii="Times New Roman" w:hAnsi="Times New Roman" w:eastAsia="仿宋_GB2312" w:cs="Times New Roman"/>
                <w:sz w:val="18"/>
                <w:szCs w:val="18"/>
                <w:lang w:val="en-US" w:eastAsia="zh-CN" w:bidi="ar"/>
              </w:rPr>
              <w:t>宁志恒</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220162730</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9"/>
                <w:rFonts w:hint="default" w:ascii="Times New Roman" w:hAnsi="Times New Roman" w:eastAsia="仿宋_GB2312" w:cs="Times New Roman"/>
                <w:sz w:val="18"/>
                <w:szCs w:val="18"/>
                <w:lang w:val="en-US" w:eastAsia="zh-CN" w:bidi="ar"/>
              </w:rPr>
              <w:t>新疆四个产区红色酿酒葡萄香气成分分析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李学文</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92</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周嘉佳</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220162475</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不同预处理对大果沙棘热风干燥效果的对比分析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张辉</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93</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王荣浩</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220162497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酶法改性对核桃谷蛋白理化特性的影响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孔令明</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94</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占永超</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220162491</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玫瑰花苹果酸奶的工艺研究及质量标准</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吴晓菊</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95</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康佳乐</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220162492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变温处理对干核桃贮藏品质影响的研究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卞生珍</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买尔旦木</w:t>
            </w:r>
            <w:r>
              <w:rPr>
                <w:rFonts w:hint="eastAsia" w:ascii="Times New Roman" w:hAnsi="Times New Roman" w:eastAsia="仿宋_GB2312" w:cs="Times New Roman"/>
                <w:i w:val="0"/>
                <w:color w:val="000000"/>
                <w:kern w:val="0"/>
                <w:sz w:val="18"/>
                <w:szCs w:val="18"/>
                <w:u w:val="none"/>
                <w:lang w:val="en-US" w:eastAsia="zh-CN" w:bidi="ar"/>
              </w:rPr>
              <w:t>·</w:t>
            </w:r>
            <w:r>
              <w:rPr>
                <w:rStyle w:val="11"/>
                <w:rFonts w:hint="default" w:ascii="Times New Roman" w:hAnsi="Times New Roman" w:eastAsia="仿宋_GB2312" w:cs="Times New Roman"/>
                <w:sz w:val="18"/>
                <w:szCs w:val="18"/>
                <w:lang w:val="en-US" w:eastAsia="zh-CN" w:bidi="ar"/>
              </w:rPr>
              <w:t>乌斯曼</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220142189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0" name="Picture_5"/>
                  <wp:cNvGraphicFramePr/>
                  <a:graphic xmlns:a="http://schemas.openxmlformats.org/drawingml/2006/main">
                    <a:graphicData uri="http://schemas.openxmlformats.org/drawingml/2006/picture">
                      <pic:pic xmlns:pic="http://schemas.openxmlformats.org/drawingml/2006/picture">
                        <pic:nvPicPr>
                          <pic:cNvPr id="50" name="Picture_5"/>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1" name="Picture_8"/>
                  <wp:cNvGraphicFramePr/>
                  <a:graphic xmlns:a="http://schemas.openxmlformats.org/drawingml/2006/main">
                    <a:graphicData uri="http://schemas.openxmlformats.org/drawingml/2006/picture">
                      <pic:pic xmlns:pic="http://schemas.openxmlformats.org/drawingml/2006/picture">
                        <pic:nvPicPr>
                          <pic:cNvPr id="51" name="Picture_8"/>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2" name="Picture_12"/>
                  <wp:cNvGraphicFramePr/>
                  <a:graphic xmlns:a="http://schemas.openxmlformats.org/drawingml/2006/main">
                    <a:graphicData uri="http://schemas.openxmlformats.org/drawingml/2006/picture">
                      <pic:pic xmlns:pic="http://schemas.openxmlformats.org/drawingml/2006/picture">
                        <pic:nvPicPr>
                          <pic:cNvPr id="52" name="Picture_12"/>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3" name="Picture_11"/>
                  <wp:cNvGraphicFramePr/>
                  <a:graphic xmlns:a="http://schemas.openxmlformats.org/drawingml/2006/main">
                    <a:graphicData uri="http://schemas.openxmlformats.org/drawingml/2006/picture">
                      <pic:pic xmlns:pic="http://schemas.openxmlformats.org/drawingml/2006/picture">
                        <pic:nvPicPr>
                          <pic:cNvPr id="53" name="Picture_1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4" name="Picture_7"/>
                  <wp:cNvGraphicFramePr/>
                  <a:graphic xmlns:a="http://schemas.openxmlformats.org/drawingml/2006/main">
                    <a:graphicData uri="http://schemas.openxmlformats.org/drawingml/2006/picture">
                      <pic:pic xmlns:pic="http://schemas.openxmlformats.org/drawingml/2006/picture">
                        <pic:nvPicPr>
                          <pic:cNvPr id="54" name="Picture_7"/>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5" name="Picture_10"/>
                  <wp:cNvGraphicFramePr/>
                  <a:graphic xmlns:a="http://schemas.openxmlformats.org/drawingml/2006/main">
                    <a:graphicData uri="http://schemas.openxmlformats.org/drawingml/2006/picture">
                      <pic:pic xmlns:pic="http://schemas.openxmlformats.org/drawingml/2006/picture">
                        <pic:nvPicPr>
                          <pic:cNvPr id="55" name="Picture_10"/>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6" name="Picture_16"/>
                  <wp:cNvGraphicFramePr/>
                  <a:graphic xmlns:a="http://schemas.openxmlformats.org/drawingml/2006/main">
                    <a:graphicData uri="http://schemas.openxmlformats.org/drawingml/2006/picture">
                      <pic:pic xmlns:pic="http://schemas.openxmlformats.org/drawingml/2006/picture">
                        <pic:nvPicPr>
                          <pic:cNvPr id="56" name="Picture_16"/>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7" name="Picture_15"/>
                  <wp:cNvGraphicFramePr/>
                  <a:graphic xmlns:a="http://schemas.openxmlformats.org/drawingml/2006/main">
                    <a:graphicData uri="http://schemas.openxmlformats.org/drawingml/2006/picture">
                      <pic:pic xmlns:pic="http://schemas.openxmlformats.org/drawingml/2006/picture">
                        <pic:nvPicPr>
                          <pic:cNvPr id="57" name="Picture_15"/>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8" name="Picture_9"/>
                  <wp:cNvGraphicFramePr/>
                  <a:graphic xmlns:a="http://schemas.openxmlformats.org/drawingml/2006/main">
                    <a:graphicData uri="http://schemas.openxmlformats.org/drawingml/2006/picture">
                      <pic:pic xmlns:pic="http://schemas.openxmlformats.org/drawingml/2006/picture">
                        <pic:nvPicPr>
                          <pic:cNvPr id="58" name="Picture_9"/>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59" name="Picture_14"/>
                  <wp:cNvGraphicFramePr/>
                  <a:graphic xmlns:a="http://schemas.openxmlformats.org/drawingml/2006/main">
                    <a:graphicData uri="http://schemas.openxmlformats.org/drawingml/2006/picture">
                      <pic:pic xmlns:pic="http://schemas.openxmlformats.org/drawingml/2006/picture">
                        <pic:nvPicPr>
                          <pic:cNvPr id="59" name="Picture_14"/>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53670" cy="9525"/>
                  <wp:effectExtent l="0" t="0" r="0" b="0"/>
                  <wp:wrapNone/>
                  <wp:docPr id="60" name="Picture_13"/>
                  <wp:cNvGraphicFramePr/>
                  <a:graphic xmlns:a="http://schemas.openxmlformats.org/drawingml/2006/main">
                    <a:graphicData uri="http://schemas.openxmlformats.org/drawingml/2006/picture">
                      <pic:pic xmlns:pic="http://schemas.openxmlformats.org/drawingml/2006/picture">
                        <pic:nvPicPr>
                          <pic:cNvPr id="60" name="Picture_13"/>
                          <pic:cNvPicPr/>
                        </pic:nvPicPr>
                        <pic:blipFill>
                          <a:blip r:embed="rId6"/>
                          <a:stretch>
                            <a:fillRect/>
                          </a:stretch>
                        </pic:blipFill>
                        <pic:spPr>
                          <a:xfrm>
                            <a:off x="0" y="0"/>
                            <a:ext cx="153670" cy="9525"/>
                          </a:xfrm>
                          <a:prstGeom prst="rect">
                            <a:avLst/>
                          </a:prstGeom>
                          <a:noFill/>
                          <a:ln>
                            <a:noFill/>
                          </a:ln>
                        </pic:spPr>
                      </pic:pic>
                    </a:graphicData>
                  </a:graphic>
                </wp:anchor>
              </w:drawing>
            </w:r>
            <w:r>
              <w:rPr>
                <w:rStyle w:val="11"/>
                <w:rFonts w:hint="default" w:ascii="Times New Roman" w:hAnsi="Times New Roman" w:eastAsia="仿宋_GB2312" w:cs="Times New Roman"/>
                <w:sz w:val="18"/>
                <w:szCs w:val="18"/>
                <w:lang w:val="en-US" w:eastAsia="zh-CN" w:bidi="ar"/>
              </w:rPr>
              <w:t>响应面法优化五香油炸制工艺</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巴吐尔</w:t>
            </w:r>
            <w:r>
              <w:rPr>
                <w:rStyle w:val="13"/>
                <w:rFonts w:hint="eastAsia" w:ascii="Times New Roman" w:hAnsi="Times New Roman" w:eastAsia="仿宋_GB2312" w:cs="Times New Roman"/>
                <w:sz w:val="18"/>
                <w:szCs w:val="18"/>
                <w:lang w:val="en-US" w:eastAsia="zh-CN" w:bidi="ar"/>
              </w:rPr>
              <w:t>·</w:t>
            </w:r>
            <w:r>
              <w:rPr>
                <w:rStyle w:val="10"/>
                <w:rFonts w:hint="default" w:ascii="Times New Roman" w:hAnsi="Times New Roman" w:eastAsia="仿宋_GB2312" w:cs="Times New Roman"/>
                <w:sz w:val="18"/>
                <w:szCs w:val="18"/>
                <w:lang w:val="en-US" w:eastAsia="zh-CN" w:bidi="ar"/>
              </w:rPr>
              <w:t>阿不力克木</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97</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莱再提</w:t>
            </w:r>
            <w:r>
              <w:rPr>
                <w:rStyle w:val="14"/>
                <w:rFonts w:hint="eastAsia" w:ascii="Times New Roman" w:hAnsi="Times New Roman" w:eastAsia="仿宋_GB2312" w:cs="Times New Roman"/>
                <w:sz w:val="18"/>
                <w:szCs w:val="18"/>
                <w:lang w:val="en-US" w:eastAsia="zh-CN" w:bidi="ar"/>
              </w:rPr>
              <w:t>·</w:t>
            </w:r>
            <w:r>
              <w:rPr>
                <w:rStyle w:val="11"/>
                <w:rFonts w:hint="default" w:ascii="Times New Roman" w:hAnsi="Times New Roman" w:eastAsia="仿宋_GB2312" w:cs="Times New Roman"/>
                <w:sz w:val="18"/>
                <w:szCs w:val="18"/>
                <w:lang w:val="en-US" w:eastAsia="zh-CN" w:bidi="ar"/>
              </w:rPr>
              <w:t>买斯木江</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220152082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巴旦木韧性饼干生产工艺研究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高蕾</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98</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刘佳乐</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highlight w:val="none"/>
                <w:u w:val="none"/>
                <w:lang w:val="en-US" w:eastAsia="zh-CN" w:bidi="ar-SA"/>
              </w:rPr>
            </w:pPr>
            <w:r>
              <w:rPr>
                <w:rFonts w:hint="default" w:ascii="Times New Roman" w:hAnsi="Times New Roman" w:eastAsia="仿宋_GB2312" w:cs="Times New Roman"/>
                <w:i w:val="0"/>
                <w:color w:val="000000"/>
                <w:kern w:val="0"/>
                <w:sz w:val="18"/>
                <w:szCs w:val="18"/>
                <w:highlight w:val="none"/>
                <w:u w:val="none"/>
                <w:lang w:val="en-US" w:eastAsia="zh-CN" w:bidi="ar"/>
              </w:rPr>
              <w:t>220180094</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50495" cy="152400"/>
                  <wp:effectExtent l="0" t="0" r="0" b="0"/>
                  <wp:wrapNone/>
                  <wp:docPr id="61" name="Picture_6"/>
                  <wp:cNvGraphicFramePr/>
                  <a:graphic xmlns:a="http://schemas.openxmlformats.org/drawingml/2006/main">
                    <a:graphicData uri="http://schemas.openxmlformats.org/drawingml/2006/picture">
                      <pic:pic xmlns:pic="http://schemas.openxmlformats.org/drawingml/2006/picture">
                        <pic:nvPicPr>
                          <pic:cNvPr id="61" name="Picture_6"/>
                          <pic:cNvPicPr/>
                        </pic:nvPicPr>
                        <pic:blipFill>
                          <a:blip r:embed="rId7"/>
                          <a:stretch>
                            <a:fillRect/>
                          </a:stretch>
                        </pic:blipFill>
                        <pic:spPr>
                          <a:xfrm>
                            <a:off x="0" y="0"/>
                            <a:ext cx="150495" cy="152400"/>
                          </a:xfrm>
                          <a:prstGeom prst="rect">
                            <a:avLst/>
                          </a:prstGeom>
                          <a:noFill/>
                          <a:ln>
                            <a:noFill/>
                          </a:ln>
                        </pic:spPr>
                      </pic:pic>
                    </a:graphicData>
                  </a:graphic>
                </wp:anchor>
              </w:drawing>
            </w:r>
            <w:r>
              <w:rPr>
                <w:rStyle w:val="11"/>
                <w:rFonts w:hint="default" w:ascii="Times New Roman" w:hAnsi="Times New Roman" w:eastAsia="仿宋_GB2312" w:cs="Times New Roman"/>
                <w:sz w:val="18"/>
                <w:szCs w:val="18"/>
                <w:lang w:val="en-US" w:eastAsia="zh-CN" w:bidi="ar"/>
              </w:rPr>
              <w:t>果域光质调控对赤霞珠葡萄浆果品质的影响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冯思豫</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99</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曹晶晶</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220162592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复合酶法同步提取葡萄籽粕蛋白质和可溶性膳食纤维的响应面优化</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王英</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100</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何欢欢</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220162613</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基于高通量测序技术分析新疆不同地区自然发酵辣椒酱微生物群落多样性</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武运</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101</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帕提麦</w:t>
            </w:r>
            <w:r>
              <w:rPr>
                <w:rStyle w:val="14"/>
                <w:rFonts w:hint="eastAsia" w:ascii="Times New Roman" w:hAnsi="Times New Roman" w:eastAsia="仿宋_GB2312" w:cs="Times New Roman"/>
                <w:sz w:val="18"/>
                <w:szCs w:val="18"/>
                <w:lang w:val="en-US" w:eastAsia="zh-CN" w:bidi="ar"/>
              </w:rPr>
              <w:t>·</w:t>
            </w:r>
            <w:r>
              <w:rPr>
                <w:rStyle w:val="11"/>
                <w:rFonts w:hint="default" w:ascii="Times New Roman" w:hAnsi="Times New Roman" w:eastAsia="仿宋_GB2312" w:cs="Times New Roman"/>
                <w:sz w:val="18"/>
                <w:szCs w:val="18"/>
                <w:lang w:val="en-US" w:eastAsia="zh-CN" w:bidi="ar"/>
              </w:rPr>
              <w:t>克热木</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220152363</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肉苁蓉水提物对益生菌的促生长作用</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魏淑萍</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102</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宋志博</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220142367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2" name="Picture_8_SpCnt_1"/>
                  <wp:cNvGraphicFramePr/>
                  <a:graphic xmlns:a="http://schemas.openxmlformats.org/drawingml/2006/main">
                    <a:graphicData uri="http://schemas.openxmlformats.org/drawingml/2006/picture">
                      <pic:pic xmlns:pic="http://schemas.openxmlformats.org/drawingml/2006/picture">
                        <pic:nvPicPr>
                          <pic:cNvPr id="62" name="Picture_8_SpCnt_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3" name="Picture_7_SpCnt_1"/>
                  <wp:cNvGraphicFramePr/>
                  <a:graphic xmlns:a="http://schemas.openxmlformats.org/drawingml/2006/main">
                    <a:graphicData uri="http://schemas.openxmlformats.org/drawingml/2006/picture">
                      <pic:pic xmlns:pic="http://schemas.openxmlformats.org/drawingml/2006/picture">
                        <pic:nvPicPr>
                          <pic:cNvPr id="63" name="Picture_7_SpCnt_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4" name="Picture_5_SpCnt_1"/>
                  <wp:cNvGraphicFramePr/>
                  <a:graphic xmlns:a="http://schemas.openxmlformats.org/drawingml/2006/main">
                    <a:graphicData uri="http://schemas.openxmlformats.org/drawingml/2006/picture">
                      <pic:pic xmlns:pic="http://schemas.openxmlformats.org/drawingml/2006/picture">
                        <pic:nvPicPr>
                          <pic:cNvPr id="64" name="Picture_5_SpCnt_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5" name="Picture_16_SpCnt_1"/>
                  <wp:cNvGraphicFramePr/>
                  <a:graphic xmlns:a="http://schemas.openxmlformats.org/drawingml/2006/main">
                    <a:graphicData uri="http://schemas.openxmlformats.org/drawingml/2006/picture">
                      <pic:pic xmlns:pic="http://schemas.openxmlformats.org/drawingml/2006/picture">
                        <pic:nvPicPr>
                          <pic:cNvPr id="65" name="Picture_16_SpCnt_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6" name="Picture_15_SpCnt_1"/>
                  <wp:cNvGraphicFramePr/>
                  <a:graphic xmlns:a="http://schemas.openxmlformats.org/drawingml/2006/main">
                    <a:graphicData uri="http://schemas.openxmlformats.org/drawingml/2006/picture">
                      <pic:pic xmlns:pic="http://schemas.openxmlformats.org/drawingml/2006/picture">
                        <pic:nvPicPr>
                          <pic:cNvPr id="66" name="Picture_15_SpCnt_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7" name="Picture_14_SpCnt_1"/>
                  <wp:cNvGraphicFramePr/>
                  <a:graphic xmlns:a="http://schemas.openxmlformats.org/drawingml/2006/main">
                    <a:graphicData uri="http://schemas.openxmlformats.org/drawingml/2006/picture">
                      <pic:pic xmlns:pic="http://schemas.openxmlformats.org/drawingml/2006/picture">
                        <pic:nvPicPr>
                          <pic:cNvPr id="67" name="Picture_14_SpCnt_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8" name="Picture_13_SpCnt_1"/>
                  <wp:cNvGraphicFramePr/>
                  <a:graphic xmlns:a="http://schemas.openxmlformats.org/drawingml/2006/main">
                    <a:graphicData uri="http://schemas.openxmlformats.org/drawingml/2006/picture">
                      <pic:pic xmlns:pic="http://schemas.openxmlformats.org/drawingml/2006/picture">
                        <pic:nvPicPr>
                          <pic:cNvPr id="68" name="Picture_13_SpCnt_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69" name="Picture_12_SpCnt_1"/>
                  <wp:cNvGraphicFramePr/>
                  <a:graphic xmlns:a="http://schemas.openxmlformats.org/drawingml/2006/main">
                    <a:graphicData uri="http://schemas.openxmlformats.org/drawingml/2006/picture">
                      <pic:pic xmlns:pic="http://schemas.openxmlformats.org/drawingml/2006/picture">
                        <pic:nvPicPr>
                          <pic:cNvPr id="69" name="Picture_12_SpCnt_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70" name="Picture_11_SpCnt_1"/>
                  <wp:cNvGraphicFramePr/>
                  <a:graphic xmlns:a="http://schemas.openxmlformats.org/drawingml/2006/main">
                    <a:graphicData uri="http://schemas.openxmlformats.org/drawingml/2006/picture">
                      <pic:pic xmlns:pic="http://schemas.openxmlformats.org/drawingml/2006/picture">
                        <pic:nvPicPr>
                          <pic:cNvPr id="70" name="Picture_11_SpCnt_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71" name="Picture_10_SpCnt_1"/>
                  <wp:cNvGraphicFramePr/>
                  <a:graphic xmlns:a="http://schemas.openxmlformats.org/drawingml/2006/main">
                    <a:graphicData uri="http://schemas.openxmlformats.org/drawingml/2006/picture">
                      <pic:pic xmlns:pic="http://schemas.openxmlformats.org/drawingml/2006/picture">
                        <pic:nvPicPr>
                          <pic:cNvPr id="71" name="Picture_10_SpCnt_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53670" cy="9525"/>
                  <wp:effectExtent l="0" t="0" r="0" b="0"/>
                  <wp:wrapNone/>
                  <wp:docPr id="72" name="Picture_9_SpCnt_1"/>
                  <wp:cNvGraphicFramePr/>
                  <a:graphic xmlns:a="http://schemas.openxmlformats.org/drawingml/2006/main">
                    <a:graphicData uri="http://schemas.openxmlformats.org/drawingml/2006/picture">
                      <pic:pic xmlns:pic="http://schemas.openxmlformats.org/drawingml/2006/picture">
                        <pic:nvPicPr>
                          <pic:cNvPr id="72" name="Picture_9_SpCnt_1"/>
                          <pic:cNvPicPr/>
                        </pic:nvPicPr>
                        <pic:blipFill>
                          <a:blip r:embed="rId6"/>
                          <a:stretch>
                            <a:fillRect/>
                          </a:stretch>
                        </pic:blipFill>
                        <pic:spPr>
                          <a:xfrm>
                            <a:off x="0" y="0"/>
                            <a:ext cx="153670" cy="9525"/>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lang w:val="en-US" w:eastAsia="zh-CN" w:bidi="ar"/>
              </w:rPr>
              <w:t>基于抗氧化应激和肝脏病理研究甜菜红素对酒精肝损伤小鼠的保护作用</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韩海霞</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103</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王雪双</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220162696</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1"/>
                <w:rFonts w:hint="default" w:ascii="Times New Roman" w:hAnsi="Times New Roman" w:eastAsia="仿宋_GB2312" w:cs="Times New Roman"/>
                <w:sz w:val="18"/>
                <w:szCs w:val="18"/>
                <w:lang w:val="en-US" w:eastAsia="zh-CN" w:bidi="ar"/>
              </w:rPr>
              <w:t>外源硒及生物炭基质对黄芪生长和硒含量影响的研究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Style w:val="10"/>
                <w:rFonts w:hint="default" w:ascii="Times New Roman" w:hAnsi="Times New Roman" w:eastAsia="仿宋_GB2312" w:cs="Times New Roman"/>
                <w:sz w:val="18"/>
                <w:szCs w:val="18"/>
                <w:lang w:val="en-US" w:eastAsia="zh-CN" w:bidi="ar"/>
              </w:rPr>
              <w:t>马生军</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104</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食品科学与药学学院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阿依先木姑丽</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热合曼</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220162662</w:t>
            </w:r>
          </w:p>
        </w:tc>
        <w:tc>
          <w:tcPr>
            <w:tcW w:w="625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西梅各部位总黄酮含量测定及抗氧化活性研究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尼格尔热依</w:t>
            </w:r>
            <w:r>
              <w:rPr>
                <w:rFonts w:hint="eastAsia" w:ascii="Times New Roman" w:hAnsi="Times New Roman" w:eastAsia="仿宋_GB2312" w:cs="Times New Roman"/>
                <w:i w:val="0"/>
                <w:color w:val="000000"/>
                <w:spacing w:val="-6"/>
                <w:kern w:val="0"/>
                <w:sz w:val="18"/>
                <w:szCs w:val="18"/>
                <w:u w:val="none"/>
                <w:lang w:val="en-US" w:eastAsia="zh-CN" w:bidi="ar"/>
              </w:rPr>
              <w:t>·</w:t>
            </w:r>
            <w:r>
              <w:rPr>
                <w:rFonts w:hint="default" w:ascii="Times New Roman" w:hAnsi="Times New Roman" w:eastAsia="仿宋_GB2312" w:cs="Times New Roman"/>
                <w:i w:val="0"/>
                <w:color w:val="000000"/>
                <w:spacing w:val="-6"/>
                <w:kern w:val="0"/>
                <w:sz w:val="18"/>
                <w:szCs w:val="18"/>
                <w:u w:val="none"/>
                <w:lang w:val="en-US" w:eastAsia="zh-CN" w:bidi="ar"/>
              </w:rPr>
              <w:t>亚迪卡尔</w:t>
            </w:r>
          </w:p>
        </w:tc>
      </w:tr>
      <w:tr>
        <w:tblPrEx>
          <w:tblLayout w:type="fixed"/>
          <w:tblCellMar>
            <w:top w:w="0" w:type="dxa"/>
            <w:left w:w="108" w:type="dxa"/>
            <w:bottom w:w="0" w:type="dxa"/>
            <w:right w:w="108" w:type="dxa"/>
          </w:tblCellMar>
        </w:tblPrEx>
        <w:trPr>
          <w:trHeight w:val="67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105</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外国语学院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王志成</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220161544</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bdr w:val="single" w:color="000000" w:sz="8" w:space="0"/>
                <w:lang w:val="en-US" w:eastAsia="zh-CN" w:bidi="ar"/>
              </w:rPr>
              <w:drawing>
                <wp:anchor distT="0" distB="0" distL="114300" distR="114300" simplePos="0" relativeHeight="251672576" behindDoc="0" locked="0" layoutInCell="1" allowOverlap="1">
                  <wp:simplePos x="0" y="0"/>
                  <wp:positionH relativeFrom="column">
                    <wp:posOffset>2190750</wp:posOffset>
                  </wp:positionH>
                  <wp:positionV relativeFrom="paragraph">
                    <wp:posOffset>45085</wp:posOffset>
                  </wp:positionV>
                  <wp:extent cx="150495" cy="152400"/>
                  <wp:effectExtent l="0" t="0" r="0" b="0"/>
                  <wp:wrapNone/>
                  <wp:docPr id="88" name="Picture_1_SpCnt_1"/>
                  <wp:cNvGraphicFramePr/>
                  <a:graphic xmlns:a="http://schemas.openxmlformats.org/drawingml/2006/main">
                    <a:graphicData uri="http://schemas.openxmlformats.org/drawingml/2006/picture">
                      <pic:pic xmlns:pic="http://schemas.openxmlformats.org/drawingml/2006/picture">
                        <pic:nvPicPr>
                          <pic:cNvPr id="88" name="Picture_1_SpCnt_1"/>
                          <pic:cNvPicPr/>
                        </pic:nvPicPr>
                        <pic:blipFill>
                          <a:blip r:embed="rId7"/>
                          <a:stretch>
                            <a:fillRect/>
                          </a:stretch>
                        </pic:blipFill>
                        <pic:spPr>
                          <a:xfrm>
                            <a:off x="0" y="0"/>
                            <a:ext cx="150495" cy="152400"/>
                          </a:xfrm>
                          <a:prstGeom prst="rect">
                            <a:avLst/>
                          </a:prstGeom>
                          <a:noFill/>
                          <a:ln>
                            <a:noFill/>
                          </a:ln>
                        </pic:spPr>
                      </pic:pic>
                    </a:graphicData>
                  </a:graphic>
                </wp:anchor>
              </w:drawing>
            </w:r>
            <w:r>
              <w:rPr>
                <w:rFonts w:hint="default" w:ascii="Times New Roman" w:hAnsi="Times New Roman" w:eastAsia="仿宋_GB2312" w:cs="Times New Roman"/>
                <w:i w:val="0"/>
                <w:color w:val="000000"/>
                <w:kern w:val="0"/>
                <w:sz w:val="18"/>
                <w:szCs w:val="18"/>
                <w:u w:val="none"/>
                <w:lang w:val="en-US" w:eastAsia="zh-CN" w:bidi="ar"/>
              </w:rPr>
              <w:t>Translation of Agriculture Classics from the Perspective of Culture Turn: A Case Study of A Preliminary Survey of the Book: Chi Min Yao Shu</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孙旭辉</w:t>
            </w:r>
          </w:p>
        </w:tc>
      </w:tr>
      <w:tr>
        <w:tblPrEx>
          <w:tblLayout w:type="fixed"/>
          <w:tblCellMar>
            <w:top w:w="0" w:type="dxa"/>
            <w:left w:w="108" w:type="dxa"/>
            <w:bottom w:w="0" w:type="dxa"/>
            <w:right w:w="108" w:type="dxa"/>
          </w:tblCellMar>
        </w:tblPrEx>
        <w:trPr>
          <w:trHeight w:val="652"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外国语学院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邵瑞珍</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220163609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On Classroom Talk Features of EFL Student-Teachers——Take English Classes in Xinjiang Agricultural University as an Example</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马琴</w:t>
            </w:r>
          </w:p>
        </w:tc>
      </w:tr>
      <w:tr>
        <w:tblPrEx>
          <w:tblLayout w:type="fixed"/>
          <w:tblCellMar>
            <w:top w:w="0" w:type="dxa"/>
            <w:left w:w="108" w:type="dxa"/>
            <w:bottom w:w="0" w:type="dxa"/>
            <w:right w:w="108" w:type="dxa"/>
          </w:tblCellMar>
        </w:tblPrEx>
        <w:trPr>
          <w:trHeight w:val="565"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107</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外国语学院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牟蕾燕</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220163610</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Case Study on English Listening and Speaking Requirements of College English Majors Based on Wechat</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陈玲</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108</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外国语学院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柳圆圆</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220163616</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On Symbolism in Gloria Naylor’s Mama Day</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杨晓丽</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109</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化学工程学院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石志立</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220163779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醋酸乙烯酯生产工业全厂能量优化设计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陈燕勤</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110</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化学工程学院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万易</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220185407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磁性氧化果胶/壳聚糖水凝胶的制备及性能研究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李君</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111</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化学工程学院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齐欢欢</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220180129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杂化型甘氨酸超分子晶体材料的合成、结构及性能研究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刘尊奇</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112</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化学工程学院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王江涛</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220163745</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蒙脱土/微晶纤维素复合材料的制备及其对亚甲基蓝吸附性能的研究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贾娜尔</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113</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化学工程学院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屈欣</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220163769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镍/1,2-二[(2-吡啶)-3-咪唑]乙烷络合物的合成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周蓉</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114</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化学工程学院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宝尔兰</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木合亚提</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220163678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曝气氧化法制备纳米纤维素研究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李亚瑜</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115</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阿力亚</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居来提</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220152163</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土库曼斯坦国国家外债及结构分析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刘维忠</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迪拉热</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托乎提</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220162242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乌鲁木齐市民对进口产品消费认知的影响分析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李红</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117</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翟荣花</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220162300</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新疆畜产品出口贸易竞争力分析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张庆萍</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118</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何宇欣</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220162314</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新疆出口贸易与环境污染互动关系实证分析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汪晶晶</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119</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周石坚</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220162292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中哈霍尔果斯国际边境合作中心的贸易便利化研究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邓羽佳</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120</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张迪</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220162418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新疆出口农产品质量测算与影响因素分析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汪晶晶</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121</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李子静</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220162325</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江苏尚飞光电科技公司税收筹划方案设计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丁丽萍</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122</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唐倩</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220162337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R公司期间费用涉税风险的分析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郑杰</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123</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周凤</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220162338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C单位“三公经费”控制中存在的问题及对策</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曹健</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124</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古丽给乃</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吾斯曼</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220152019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阿瓦提县乡村旅游发展调查</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张靓靓</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125</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靳方真</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220162155</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本地居民对塔城旅游新媒体营销宣传的认可度研究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姚娟</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潘廉玉</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220162142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新疆科技馆游客动机及满意度指数模型研究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程路明</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127</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谭园双</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220162066</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基于SEM的湖南铜官窑古镇农户生计选择分析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赵达君</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128</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贺振武</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220143321</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奇台县农户社会化服务需求及满意度评价研究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刘国勇</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129</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王晓琼</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220162077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新疆伊犁州农户土地经营代际传承意愿研究</w:t>
            </w:r>
          </w:p>
        </w:tc>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18"/>
                <w:szCs w:val="18"/>
                <w:highlight w:val="none"/>
                <w:lang w:val="en-US" w:eastAsia="zh-CN" w:bidi="ar"/>
              </w:rPr>
            </w:pPr>
            <w:r>
              <w:rPr>
                <w:rFonts w:hint="default" w:ascii="Times New Roman" w:hAnsi="Times New Roman" w:eastAsia="仿宋_GB2312" w:cs="Times New Roman"/>
                <w:color w:val="000000"/>
                <w:kern w:val="0"/>
                <w:sz w:val="18"/>
                <w:szCs w:val="18"/>
                <w:highlight w:val="none"/>
                <w:lang w:bidi="ar"/>
              </w:rPr>
              <w:t>刘国勇</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130</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艾合买江</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艾山江</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220162184</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于田县托格日尕孜乡特色核桃产品网络销售推广模式研究</w:t>
            </w:r>
          </w:p>
        </w:tc>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18"/>
                <w:szCs w:val="18"/>
                <w:highlight w:val="none"/>
                <w:lang w:val="en-US" w:eastAsia="zh-CN" w:bidi="ar"/>
              </w:rPr>
            </w:pPr>
            <w:r>
              <w:rPr>
                <w:rFonts w:hint="default" w:ascii="Times New Roman" w:hAnsi="Times New Roman" w:eastAsia="仿宋_GB2312" w:cs="Times New Roman"/>
                <w:color w:val="000000"/>
                <w:kern w:val="0"/>
                <w:sz w:val="18"/>
                <w:szCs w:val="18"/>
                <w:highlight w:val="none"/>
                <w:lang w:bidi="ar"/>
              </w:rPr>
              <w:t>朱新鑫</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131</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庞玉</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220162228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基于顾客满意的乌鲁木齐市猫咖馆体验营销策略研究</w:t>
            </w:r>
          </w:p>
        </w:tc>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18"/>
                <w:szCs w:val="18"/>
                <w:highlight w:val="none"/>
                <w:lang w:val="en-US" w:eastAsia="zh-CN" w:bidi="ar"/>
              </w:rPr>
            </w:pPr>
            <w:r>
              <w:rPr>
                <w:rFonts w:hint="default" w:ascii="Times New Roman" w:hAnsi="Times New Roman" w:eastAsia="仿宋_GB2312" w:cs="Times New Roman"/>
                <w:color w:val="000000"/>
                <w:kern w:val="0"/>
                <w:sz w:val="18"/>
                <w:szCs w:val="18"/>
                <w:highlight w:val="none"/>
                <w:lang w:bidi="ar"/>
              </w:rPr>
              <w:t>余国新</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132</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经济与贸易学院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陈慧星</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220162230</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基于在线评论网购阿克苏苹果的消费行为影响因素分析</w:t>
            </w:r>
          </w:p>
        </w:tc>
        <w:tc>
          <w:tcPr>
            <w:tcW w:w="19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18"/>
                <w:szCs w:val="18"/>
                <w:highlight w:val="none"/>
                <w:lang w:val="en-US" w:eastAsia="zh-CN" w:bidi="ar"/>
              </w:rPr>
            </w:pPr>
            <w:r>
              <w:rPr>
                <w:rFonts w:hint="default" w:ascii="Times New Roman" w:hAnsi="Times New Roman" w:eastAsia="仿宋_GB2312" w:cs="Times New Roman"/>
                <w:color w:val="000000"/>
                <w:kern w:val="0"/>
                <w:sz w:val="18"/>
                <w:szCs w:val="18"/>
                <w:highlight w:val="none"/>
                <w:lang w:bidi="ar"/>
              </w:rPr>
              <w:t>余国新</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133</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古丽扎尔</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阿布拉</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220151208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哈密市牧祥养殖专业合作社母羊难产的诊疗</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郑晓风</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134</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阿卜杜米吉提</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艾海提</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220151213</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南疆不同区域犊牛粪源大肠杆菌耐药性分析及非O157 STEC的分离鉴定</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吾买尔江</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牙合甫</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135</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多水银</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220161240</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一例公猫膀胱结石的诊断与治疗</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刘丹丹</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寇茜茜</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220161249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和田地区的畜牧业信息化建设</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戴小华</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137</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赵康宁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220161253</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缓解马运输应激中药复方颗粒剂的制备、质量检测及毒性试验研究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王金泉</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138</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甘露</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220161254</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伊氏锥虫昭苏株实验动物模型建立和病原生物学特性研究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巴音查汗</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盖力克</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139</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古丽米热</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玉素甫</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220161295</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一例金毛犬血管肉瘤的诊断与治疗</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侯宇</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140</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再乃普古丽</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乌鲁格</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220161320</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复合益生菌发酵棉源饲料对新疆阿瓦提羔羊生长性能及其血清抗氧化指标的影响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赛福丁</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141</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席浩</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220161344</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羊球虫感染情况对部分生化指标的影响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刘建华</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142</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权晨曦</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220161349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新疆阿克苏地区某规模化猪场大肠杆菌耐药性分析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夏利宁</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143</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李丹</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220161354</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新疆某地区五个乡镇2015~2018年布病监测情况分析</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孙亚伟</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144</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胡美荷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220161369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细粒棘球蚴感染羊肝脏包囊纤维化形成的病理形态学观察</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翟少华</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145</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蔡鹏</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220161382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荨麻皮刺水提液对小鼠离体肠平滑肌运动的影响</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赵红琼</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冯龙基</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220161385</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禽源沙门氏菌的分离鉴定和常用药物的筛选</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王菊梅</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147</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韩蕊</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220180029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羊源沙门菌生物膜形成特性研究</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彭斌</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148</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动物医学学院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陆金莲</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220180041</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阿瓦提县动物防疫工作现状及对策建议--以拜什艾日克镇为例</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雷程红</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149</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涂治</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220162036</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喀什地区地下水化学特征及质量评价</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周金龙</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150</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杨博文</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220162056</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托克逊县天业矿产年产100万吨石灰项目水资源论证</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穆振侠</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151</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穆科宇</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220161805</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米兰河渠首工程设计--底栏栅式+工作桥结构3D建模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李晓庆</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152</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李文昊</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220161828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米兰河渠首工程设计--弯道式+枢纽工程3D建模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李晓庆</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153</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薛建文</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220161868</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11"/>
                <w:kern w:val="0"/>
                <w:sz w:val="18"/>
                <w:szCs w:val="18"/>
                <w:u w:val="none"/>
                <w:lang w:val="en-US" w:eastAsia="zh-CN" w:bidi="ar"/>
              </w:rPr>
              <w:t>D河水库枢纽工程初步设计--沥青混凝土心墙砂砾石坝方案工程布置与表孔溢洪洞设计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李玉建</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154</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王程</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220161831</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LG水利枢纽工程混凝土面板堆石坝方案--坝体结构设计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周峰</w:t>
            </w:r>
          </w:p>
        </w:tc>
      </w:tr>
      <w:tr>
        <w:tblPrEx>
          <w:tblLayout w:type="fixed"/>
          <w:tblCellMar>
            <w:top w:w="0" w:type="dxa"/>
            <w:left w:w="108" w:type="dxa"/>
            <w:bottom w:w="0" w:type="dxa"/>
            <w:right w:w="108" w:type="dxa"/>
          </w:tblCellMar>
        </w:tblPrEx>
        <w:trPr>
          <w:trHeight w:val="658"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155</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陈新中</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220161839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M河水电站工程设计-水电站三维设计及结构计算</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严新军、柏涛、杰德尔别克</w:t>
            </w:r>
            <w:r>
              <w:rPr>
                <w:rStyle w:val="14"/>
                <w:rFonts w:hint="eastAsia" w:ascii="Times New Roman" w:hAnsi="Times New Roman" w:eastAsia="仿宋_GB2312" w:cs="Times New Roman"/>
                <w:sz w:val="18"/>
                <w:szCs w:val="18"/>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马迪尼叶提</w:t>
            </w:r>
          </w:p>
        </w:tc>
      </w:tr>
      <w:tr>
        <w:tblPrEx>
          <w:tblLayout w:type="fixed"/>
          <w:tblCellMar>
            <w:top w:w="0" w:type="dxa"/>
            <w:left w:w="108" w:type="dxa"/>
            <w:bottom w:w="0" w:type="dxa"/>
            <w:right w:w="108" w:type="dxa"/>
          </w:tblCellMar>
        </w:tblPrEx>
        <w:trPr>
          <w:trHeight w:val="602"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顾元皓</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220161882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M河水电站工程设计-水电站三维设计及工程量计算</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严新军、柏涛、杰德尔别克</w:t>
            </w:r>
            <w:r>
              <w:rPr>
                <w:rStyle w:val="14"/>
                <w:rFonts w:hint="eastAsia" w:ascii="Times New Roman" w:hAnsi="Times New Roman" w:eastAsia="仿宋_GB2312" w:cs="Times New Roman"/>
                <w:sz w:val="18"/>
                <w:szCs w:val="18"/>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马迪尼叶提</w:t>
            </w:r>
          </w:p>
        </w:tc>
      </w:tr>
      <w:tr>
        <w:tblPrEx>
          <w:tblLayout w:type="fixed"/>
          <w:tblCellMar>
            <w:top w:w="0" w:type="dxa"/>
            <w:left w:w="108" w:type="dxa"/>
            <w:bottom w:w="0" w:type="dxa"/>
            <w:right w:w="108" w:type="dxa"/>
          </w:tblCellMar>
        </w:tblPrEx>
        <w:trPr>
          <w:trHeight w:val="602"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157</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马栋</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220161817</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M河水电站工程设计-发电机层楼板结构设计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严新军、柏涛、杰德尔别克</w:t>
            </w:r>
            <w:r>
              <w:rPr>
                <w:rStyle w:val="14"/>
                <w:rFonts w:hint="eastAsia" w:ascii="Times New Roman" w:hAnsi="Times New Roman" w:eastAsia="仿宋_GB2312" w:cs="Times New Roman"/>
                <w:sz w:val="18"/>
                <w:szCs w:val="18"/>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马迪尼叶提</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158</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徐嘉松</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220161960</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嘉友商场综合楼设计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朱海燕、何金春</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159</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魏建修</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220161942</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华采天地商场综合楼设计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何金春、朱海燕</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160</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侯俊</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220161956</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建诚商场综合楼设计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朱海燕、何金春</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161</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李燕燕</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220162009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三坪实验基地生态农场自动化灌溉管理系统</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曹伟</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162</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曹瑶芬</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220161993</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TC农场灌排渠系规划及用水管理---以1干2支7斗4农渠为例</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李彦</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163</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王蓬</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220161779</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M灌区灌排规划及880亩油葵（种植模式40cm+60cm）滴灌工程设计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马亮</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164</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肖宇峰</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220161775</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spacing w:val="-6"/>
                <w:kern w:val="0"/>
                <w:sz w:val="18"/>
                <w:szCs w:val="18"/>
                <w:u w:val="none"/>
                <w:lang w:val="en-US" w:eastAsia="zh-CN" w:bidi="ar"/>
              </w:rPr>
              <w:t>北疆H农场灌排规划设计及4992亩棉花（种植模式30cm+60cm）滴灌工程设计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马英杰</w:t>
            </w:r>
          </w:p>
        </w:tc>
      </w:tr>
      <w:tr>
        <w:tblPrEx>
          <w:tblLayout w:type="fixed"/>
          <w:tblCellMar>
            <w:top w:w="0" w:type="dxa"/>
            <w:left w:w="108" w:type="dxa"/>
            <w:bottom w:w="0" w:type="dxa"/>
            <w:right w:w="108" w:type="dxa"/>
          </w:tblCellMar>
        </w:tblPrEx>
        <w:trPr>
          <w:trHeight w:val="397"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165</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胡慧玲</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220161780</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新疆G县高标准农田建设项目规划设计以1-1-4条田为典型条田</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洪明</w:t>
            </w:r>
          </w:p>
        </w:tc>
      </w:tr>
      <w:tr>
        <w:tblPrEx>
          <w:tblLayout w:type="fixed"/>
          <w:tblCellMar>
            <w:top w:w="0" w:type="dxa"/>
            <w:left w:w="108" w:type="dxa"/>
            <w:bottom w:w="0" w:type="dxa"/>
            <w:right w:w="108" w:type="dxa"/>
          </w:tblCellMar>
        </w:tblPrEx>
        <w:trPr>
          <w:trHeight w:val="612" w:hRule="exac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166</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水利与土木工程学院</w:t>
            </w:r>
          </w:p>
        </w:tc>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常露</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220162404</w:t>
            </w:r>
          </w:p>
        </w:tc>
        <w:tc>
          <w:tcPr>
            <w:tcW w:w="6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南疆T农场灌区规划及4300亩棉花（种植模式：10cm+66cm+10cm+66cm）滴灌工程规划设计</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付秋萍</w:t>
            </w:r>
          </w:p>
        </w:tc>
      </w:tr>
    </w:tbl>
    <w:p>
      <w:pPr>
        <w:jc w:val="center"/>
        <w:rPr>
          <w:rFonts w:hint="default" w:ascii="Times New Roman" w:hAnsi="Times New Roman" w:eastAsia="仿宋" w:cs="Times New Roman"/>
          <w:sz w:val="32"/>
          <w:szCs w:val="32"/>
          <w:lang w:val="en-US" w:eastAsia="zh-CN"/>
        </w:rPr>
        <w:sectPr>
          <w:headerReference r:id="rId3" w:type="default"/>
          <w:footerReference r:id="rId4" w:type="default"/>
          <w:pgSz w:w="16838" w:h="11906" w:orient="landscape"/>
          <w:pgMar w:top="1474" w:right="1474" w:bottom="1474" w:left="1474" w:header="851" w:footer="992" w:gutter="0"/>
          <w:pgNumType w:fmt="numberInDash"/>
          <w:cols w:space="425" w:num="1"/>
          <w:docGrid w:type="lines" w:linePitch="312" w:charSpace="0"/>
        </w:sect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jc w:val="center"/>
        <w:rPr>
          <w:rFonts w:hint="default" w:ascii="Times New Roman" w:hAnsi="Times New Roman" w:eastAsia="仿宋" w:cs="Times New Roman"/>
          <w:sz w:val="32"/>
          <w:szCs w:val="32"/>
          <w:lang w:val="en-US" w:eastAsia="zh-CN"/>
        </w:rPr>
      </w:pPr>
    </w:p>
    <w:p>
      <w:pPr>
        <w:pBdr>
          <w:bottom w:val="none" w:color="auto" w:sz="0" w:space="0"/>
        </w:pBdr>
        <w:jc w:val="both"/>
        <w:rPr>
          <w:rFonts w:hint="default" w:ascii="Times New Roman" w:hAnsi="Times New Roman" w:eastAsia="仿宋" w:cs="Times New Roman"/>
          <w:sz w:val="32"/>
          <w:szCs w:val="32"/>
          <w:lang w:val="en-US" w:eastAsia="zh-CN"/>
        </w:rPr>
      </w:pPr>
    </w:p>
    <w:p>
      <w:pPr>
        <w:pBdr>
          <w:top w:val="single" w:color="auto" w:sz="4" w:space="0"/>
          <w:bottom w:val="single" w:color="auto" w:sz="4" w:space="0"/>
        </w:pBdr>
        <w:ind w:firstLine="280" w:firstLineChars="10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新疆农业大学教务处                        2020年6月4日印发</w:t>
      </w:r>
    </w:p>
    <w:sectPr>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937AE"/>
    <w:rsid w:val="000A5498"/>
    <w:rsid w:val="00991BF7"/>
    <w:rsid w:val="010D3A16"/>
    <w:rsid w:val="0168334D"/>
    <w:rsid w:val="01CA4804"/>
    <w:rsid w:val="01EF32D4"/>
    <w:rsid w:val="02137518"/>
    <w:rsid w:val="02160E99"/>
    <w:rsid w:val="02177D16"/>
    <w:rsid w:val="025355EE"/>
    <w:rsid w:val="02DA3CC2"/>
    <w:rsid w:val="02EF3634"/>
    <w:rsid w:val="035A15B1"/>
    <w:rsid w:val="037D6CE9"/>
    <w:rsid w:val="03AE7B5F"/>
    <w:rsid w:val="041F4471"/>
    <w:rsid w:val="045026E1"/>
    <w:rsid w:val="057838E6"/>
    <w:rsid w:val="05F721DF"/>
    <w:rsid w:val="064D7ECB"/>
    <w:rsid w:val="075458BB"/>
    <w:rsid w:val="07A8741D"/>
    <w:rsid w:val="07AF5240"/>
    <w:rsid w:val="08255394"/>
    <w:rsid w:val="088464E6"/>
    <w:rsid w:val="097D1BA9"/>
    <w:rsid w:val="09EA5D69"/>
    <w:rsid w:val="0A691C9D"/>
    <w:rsid w:val="0AC83D24"/>
    <w:rsid w:val="0B430B31"/>
    <w:rsid w:val="0B836863"/>
    <w:rsid w:val="0BD53A93"/>
    <w:rsid w:val="0D35235F"/>
    <w:rsid w:val="0E976C60"/>
    <w:rsid w:val="0EA54EB3"/>
    <w:rsid w:val="0F1C151C"/>
    <w:rsid w:val="0FB3111C"/>
    <w:rsid w:val="12257ECF"/>
    <w:rsid w:val="131746A9"/>
    <w:rsid w:val="13924C76"/>
    <w:rsid w:val="13C30489"/>
    <w:rsid w:val="141E5521"/>
    <w:rsid w:val="145513E4"/>
    <w:rsid w:val="14D00BE5"/>
    <w:rsid w:val="14E04311"/>
    <w:rsid w:val="15814FA0"/>
    <w:rsid w:val="15985A8D"/>
    <w:rsid w:val="17495260"/>
    <w:rsid w:val="17E838D9"/>
    <w:rsid w:val="1A6B4DAC"/>
    <w:rsid w:val="1B39408C"/>
    <w:rsid w:val="1BC315A5"/>
    <w:rsid w:val="1C7668B8"/>
    <w:rsid w:val="1CCF16BE"/>
    <w:rsid w:val="1D0838D3"/>
    <w:rsid w:val="1F4631AD"/>
    <w:rsid w:val="1F973DFC"/>
    <w:rsid w:val="1F9C160B"/>
    <w:rsid w:val="20091D08"/>
    <w:rsid w:val="20D75D52"/>
    <w:rsid w:val="21FF14FB"/>
    <w:rsid w:val="22011BD2"/>
    <w:rsid w:val="224972FE"/>
    <w:rsid w:val="234041A6"/>
    <w:rsid w:val="245A215A"/>
    <w:rsid w:val="256929EE"/>
    <w:rsid w:val="259513E3"/>
    <w:rsid w:val="259E0BE3"/>
    <w:rsid w:val="25CC5FE2"/>
    <w:rsid w:val="25D66DD8"/>
    <w:rsid w:val="265812B9"/>
    <w:rsid w:val="272E3D8B"/>
    <w:rsid w:val="276B036B"/>
    <w:rsid w:val="27D21809"/>
    <w:rsid w:val="28100351"/>
    <w:rsid w:val="281B62EA"/>
    <w:rsid w:val="281C5972"/>
    <w:rsid w:val="28961B0E"/>
    <w:rsid w:val="28DB6DB0"/>
    <w:rsid w:val="296937AE"/>
    <w:rsid w:val="2A267832"/>
    <w:rsid w:val="2A3858A4"/>
    <w:rsid w:val="2AD326E0"/>
    <w:rsid w:val="2B8E58B3"/>
    <w:rsid w:val="2CD144C5"/>
    <w:rsid w:val="2D441C9E"/>
    <w:rsid w:val="2DAA3DB9"/>
    <w:rsid w:val="2EDD0104"/>
    <w:rsid w:val="2EF2228B"/>
    <w:rsid w:val="2EF22AB6"/>
    <w:rsid w:val="2F184D46"/>
    <w:rsid w:val="2FBB58E6"/>
    <w:rsid w:val="2FC835BA"/>
    <w:rsid w:val="30371EAB"/>
    <w:rsid w:val="304E2097"/>
    <w:rsid w:val="31780A21"/>
    <w:rsid w:val="31F42177"/>
    <w:rsid w:val="32993EC7"/>
    <w:rsid w:val="329B50CC"/>
    <w:rsid w:val="32FD7BF4"/>
    <w:rsid w:val="33874A94"/>
    <w:rsid w:val="3424036D"/>
    <w:rsid w:val="34B61A68"/>
    <w:rsid w:val="3529703C"/>
    <w:rsid w:val="360C64DA"/>
    <w:rsid w:val="3691321D"/>
    <w:rsid w:val="36A61C5C"/>
    <w:rsid w:val="36CA4DB2"/>
    <w:rsid w:val="37125DF9"/>
    <w:rsid w:val="374D7477"/>
    <w:rsid w:val="37B26AFF"/>
    <w:rsid w:val="386023B6"/>
    <w:rsid w:val="38F51E7F"/>
    <w:rsid w:val="391D4C55"/>
    <w:rsid w:val="392C6320"/>
    <w:rsid w:val="393F27C9"/>
    <w:rsid w:val="39B9127A"/>
    <w:rsid w:val="3A221EE6"/>
    <w:rsid w:val="3A276A8E"/>
    <w:rsid w:val="3A5C3265"/>
    <w:rsid w:val="3B3B56C7"/>
    <w:rsid w:val="3B917A74"/>
    <w:rsid w:val="3B967388"/>
    <w:rsid w:val="3B9A1946"/>
    <w:rsid w:val="3C0120B5"/>
    <w:rsid w:val="3C24501C"/>
    <w:rsid w:val="3C377ADA"/>
    <w:rsid w:val="3C4B71ED"/>
    <w:rsid w:val="3CE41226"/>
    <w:rsid w:val="3D591637"/>
    <w:rsid w:val="3E9752EA"/>
    <w:rsid w:val="40026A9D"/>
    <w:rsid w:val="4173483D"/>
    <w:rsid w:val="41D5568B"/>
    <w:rsid w:val="423170C2"/>
    <w:rsid w:val="424248E8"/>
    <w:rsid w:val="427C77F0"/>
    <w:rsid w:val="428F1D2F"/>
    <w:rsid w:val="429F0558"/>
    <w:rsid w:val="42ED3392"/>
    <w:rsid w:val="437C2857"/>
    <w:rsid w:val="44714E95"/>
    <w:rsid w:val="457F6719"/>
    <w:rsid w:val="45C80D73"/>
    <w:rsid w:val="46CB41BD"/>
    <w:rsid w:val="471C7F99"/>
    <w:rsid w:val="472F65EC"/>
    <w:rsid w:val="47356D0A"/>
    <w:rsid w:val="4AA67EBA"/>
    <w:rsid w:val="4CBE414C"/>
    <w:rsid w:val="4E9C52EB"/>
    <w:rsid w:val="4EB07AB5"/>
    <w:rsid w:val="4EC15263"/>
    <w:rsid w:val="4ECF28DA"/>
    <w:rsid w:val="4FA7609A"/>
    <w:rsid w:val="4FFA3A25"/>
    <w:rsid w:val="50455C6B"/>
    <w:rsid w:val="51D97593"/>
    <w:rsid w:val="523625AF"/>
    <w:rsid w:val="52BF097D"/>
    <w:rsid w:val="5562509A"/>
    <w:rsid w:val="55737ADD"/>
    <w:rsid w:val="55D609BA"/>
    <w:rsid w:val="570725DB"/>
    <w:rsid w:val="579D04AA"/>
    <w:rsid w:val="58347222"/>
    <w:rsid w:val="5A5D307B"/>
    <w:rsid w:val="5A607661"/>
    <w:rsid w:val="5AA6434F"/>
    <w:rsid w:val="5B072C7C"/>
    <w:rsid w:val="5B0F270D"/>
    <w:rsid w:val="5C152A20"/>
    <w:rsid w:val="5C2123D9"/>
    <w:rsid w:val="5CBB1578"/>
    <w:rsid w:val="5CD03ACE"/>
    <w:rsid w:val="5D034835"/>
    <w:rsid w:val="5D270389"/>
    <w:rsid w:val="5D6A05AB"/>
    <w:rsid w:val="5DD2630F"/>
    <w:rsid w:val="5E0007F2"/>
    <w:rsid w:val="5EF6618D"/>
    <w:rsid w:val="60AE548D"/>
    <w:rsid w:val="60B471F2"/>
    <w:rsid w:val="61E771CF"/>
    <w:rsid w:val="620C17AA"/>
    <w:rsid w:val="623033D7"/>
    <w:rsid w:val="6280228A"/>
    <w:rsid w:val="631903A2"/>
    <w:rsid w:val="63512E9D"/>
    <w:rsid w:val="64161BBF"/>
    <w:rsid w:val="643F2B28"/>
    <w:rsid w:val="64737155"/>
    <w:rsid w:val="64E75B48"/>
    <w:rsid w:val="65307B3A"/>
    <w:rsid w:val="6531004D"/>
    <w:rsid w:val="658F53D2"/>
    <w:rsid w:val="65A91D58"/>
    <w:rsid w:val="664236CE"/>
    <w:rsid w:val="66772A3C"/>
    <w:rsid w:val="66A00D0F"/>
    <w:rsid w:val="67137487"/>
    <w:rsid w:val="672311EA"/>
    <w:rsid w:val="67C4221A"/>
    <w:rsid w:val="67F9078C"/>
    <w:rsid w:val="680301E6"/>
    <w:rsid w:val="68FA27AA"/>
    <w:rsid w:val="699D1CDF"/>
    <w:rsid w:val="69F80AD0"/>
    <w:rsid w:val="6A0A089F"/>
    <w:rsid w:val="6A481625"/>
    <w:rsid w:val="6AAA3E42"/>
    <w:rsid w:val="6AD24E40"/>
    <w:rsid w:val="6B442028"/>
    <w:rsid w:val="6BB77233"/>
    <w:rsid w:val="6C131CA9"/>
    <w:rsid w:val="6D534397"/>
    <w:rsid w:val="6D58308A"/>
    <w:rsid w:val="6E374075"/>
    <w:rsid w:val="6E432970"/>
    <w:rsid w:val="6E544013"/>
    <w:rsid w:val="6E9A474E"/>
    <w:rsid w:val="6F7C3DDD"/>
    <w:rsid w:val="6FE476D0"/>
    <w:rsid w:val="7034479A"/>
    <w:rsid w:val="71312264"/>
    <w:rsid w:val="714E3230"/>
    <w:rsid w:val="72574CC9"/>
    <w:rsid w:val="73316A49"/>
    <w:rsid w:val="73FD01E8"/>
    <w:rsid w:val="741277CB"/>
    <w:rsid w:val="745D18AA"/>
    <w:rsid w:val="74734510"/>
    <w:rsid w:val="747D2B50"/>
    <w:rsid w:val="74952ED7"/>
    <w:rsid w:val="75777192"/>
    <w:rsid w:val="76505E3A"/>
    <w:rsid w:val="76761024"/>
    <w:rsid w:val="76982B29"/>
    <w:rsid w:val="76CD788D"/>
    <w:rsid w:val="77813DF7"/>
    <w:rsid w:val="77864B41"/>
    <w:rsid w:val="77B73D72"/>
    <w:rsid w:val="77C65B47"/>
    <w:rsid w:val="77F22FD4"/>
    <w:rsid w:val="783575F6"/>
    <w:rsid w:val="78A4156E"/>
    <w:rsid w:val="7939718E"/>
    <w:rsid w:val="793F08F1"/>
    <w:rsid w:val="7BF9048E"/>
    <w:rsid w:val="7C5A4C91"/>
    <w:rsid w:val="7C5D4D44"/>
    <w:rsid w:val="7CA06931"/>
    <w:rsid w:val="7D112446"/>
    <w:rsid w:val="7E893BFA"/>
    <w:rsid w:val="7EAF050C"/>
    <w:rsid w:val="7ED51464"/>
    <w:rsid w:val="7F3E5398"/>
    <w:rsid w:val="7F54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character" w:styleId="7">
    <w:name w:val="Emphasis"/>
    <w:basedOn w:val="6"/>
    <w:qFormat/>
    <w:uiPriority w:val="0"/>
    <w:rPr>
      <w:i/>
    </w:rPr>
  </w:style>
  <w:style w:type="character" w:customStyle="1" w:styleId="8">
    <w:name w:val="font21"/>
    <w:basedOn w:val="6"/>
    <w:qFormat/>
    <w:uiPriority w:val="0"/>
    <w:rPr>
      <w:rFonts w:hint="eastAsia" w:ascii="宋体" w:hAnsi="宋体" w:eastAsia="宋体" w:cs="宋体"/>
      <w:color w:val="000000"/>
      <w:sz w:val="20"/>
      <w:szCs w:val="20"/>
      <w:u w:val="none"/>
    </w:rPr>
  </w:style>
  <w:style w:type="character" w:customStyle="1" w:styleId="9">
    <w:name w:val="font91"/>
    <w:basedOn w:val="6"/>
    <w:qFormat/>
    <w:uiPriority w:val="0"/>
    <w:rPr>
      <w:rFonts w:hint="eastAsia" w:ascii="宋体" w:hAnsi="宋体" w:eastAsia="宋体" w:cs="宋体"/>
      <w:color w:val="000000"/>
      <w:sz w:val="20"/>
      <w:szCs w:val="20"/>
      <w:u w:val="none"/>
    </w:rPr>
  </w:style>
  <w:style w:type="character" w:customStyle="1" w:styleId="10">
    <w:name w:val="font101"/>
    <w:basedOn w:val="6"/>
    <w:qFormat/>
    <w:uiPriority w:val="0"/>
    <w:rPr>
      <w:rFonts w:hint="eastAsia" w:ascii="宋体" w:hAnsi="宋体" w:eastAsia="宋体" w:cs="宋体"/>
      <w:color w:val="000000"/>
      <w:sz w:val="20"/>
      <w:szCs w:val="20"/>
      <w:u w:val="none"/>
    </w:rPr>
  </w:style>
  <w:style w:type="character" w:customStyle="1" w:styleId="11">
    <w:name w:val="font81"/>
    <w:basedOn w:val="6"/>
    <w:qFormat/>
    <w:uiPriority w:val="0"/>
    <w:rPr>
      <w:rFonts w:hint="eastAsia" w:ascii="宋体" w:hAnsi="宋体" w:eastAsia="宋体" w:cs="宋体"/>
      <w:color w:val="000000"/>
      <w:sz w:val="20"/>
      <w:szCs w:val="20"/>
      <w:u w:val="none"/>
    </w:rPr>
  </w:style>
  <w:style w:type="character" w:customStyle="1" w:styleId="12">
    <w:name w:val="font121"/>
    <w:basedOn w:val="6"/>
    <w:qFormat/>
    <w:uiPriority w:val="0"/>
    <w:rPr>
      <w:rFonts w:hint="default" w:ascii="Times New Roman" w:hAnsi="Times New Roman" w:cs="Times New Roman"/>
      <w:color w:val="000000"/>
      <w:sz w:val="20"/>
      <w:szCs w:val="20"/>
      <w:u w:val="none"/>
    </w:rPr>
  </w:style>
  <w:style w:type="character" w:customStyle="1" w:styleId="13">
    <w:name w:val="font161"/>
    <w:basedOn w:val="6"/>
    <w:qFormat/>
    <w:uiPriority w:val="0"/>
    <w:rPr>
      <w:rFonts w:hint="default" w:ascii="Times New Roman" w:hAnsi="Times New Roman" w:cs="Times New Roman"/>
      <w:color w:val="000000"/>
      <w:sz w:val="20"/>
      <w:szCs w:val="20"/>
      <w:u w:val="none"/>
    </w:rPr>
  </w:style>
  <w:style w:type="character" w:customStyle="1" w:styleId="14">
    <w:name w:val="font112"/>
    <w:basedOn w:val="6"/>
    <w:qFormat/>
    <w:uiPriority w:val="0"/>
    <w:rPr>
      <w:rFonts w:hint="default" w:ascii="Times New Roman" w:hAnsi="Times New Roman" w:cs="Times New Roman"/>
      <w:color w:val="000000"/>
      <w:sz w:val="20"/>
      <w:szCs w:val="20"/>
      <w:u w:val="none"/>
    </w:rPr>
  </w:style>
  <w:style w:type="character" w:customStyle="1" w:styleId="15">
    <w:name w:val="font01"/>
    <w:basedOn w:val="6"/>
    <w:qFormat/>
    <w:uiPriority w:val="0"/>
    <w:rPr>
      <w:rFonts w:ascii="宋体" w:hAnsi="宋体" w:eastAsia="宋体" w:cs="宋体"/>
      <w:color w:val="000000"/>
      <w:sz w:val="18"/>
      <w:szCs w:val="18"/>
      <w:u w:val="none"/>
    </w:rPr>
  </w:style>
  <w:style w:type="character" w:customStyle="1" w:styleId="16">
    <w:name w:val="font11"/>
    <w:basedOn w:val="6"/>
    <w:qFormat/>
    <w:uiPriority w:val="0"/>
    <w:rPr>
      <w:rFonts w:ascii="宋体" w:hAnsi="宋体" w:eastAsia="宋体" w:cs="宋体"/>
      <w:color w:val="000000"/>
      <w:sz w:val="18"/>
      <w:szCs w:val="18"/>
      <w:u w:val="none"/>
    </w:rPr>
  </w:style>
  <w:style w:type="character" w:customStyle="1" w:styleId="17">
    <w:name w:val="font71"/>
    <w:basedOn w:val="6"/>
    <w:qFormat/>
    <w:uiPriority w:val="0"/>
    <w:rPr>
      <w:rFonts w:hint="default" w:ascii="仿宋_GB2312" w:eastAsia="仿宋_GB2312" w:cs="仿宋_GB2312"/>
      <w:color w:val="000000"/>
      <w:sz w:val="21"/>
      <w:szCs w:val="21"/>
      <w:u w:val="none"/>
    </w:rPr>
  </w:style>
  <w:style w:type="character" w:customStyle="1" w:styleId="18">
    <w:name w:val="font151"/>
    <w:basedOn w:val="6"/>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2020-05-29T02:30:00Z</dcterms:created>
  <dc:creator>WPS_123018349</dc:creator>
  <cp:lastModifiedBy>清影</cp:lastModifiedBy>
  <cp:lastPrinted>2020-06-02T06:47:00Z</cp:lastPrinted>
  <dcterms:modified xsi:type="dcterms:W3CDTF">2020-06-04T11:50:27Z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