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194" w:firstLineChars="23"/>
        <w:jc w:val="center"/>
        <w:rPr>
          <w:rFonts w:eastAsia="Times New Roman"/>
          <w:b/>
          <w:sz w:val="84"/>
        </w:rPr>
      </w:pPr>
      <w:r>
        <w:rPr>
          <w:rFonts w:ascii="宋体" w:hAnsi="宋体"/>
          <w:b/>
          <w:sz w:val="84"/>
        </w:rPr>
        <w:t>教 务 通 知</w:t>
      </w:r>
    </w:p>
    <w:p>
      <w:pPr>
        <w:spacing w:line="1000" w:lineRule="exact"/>
        <w:ind w:firstLine="562"/>
        <w:jc w:val="center"/>
        <w:outlineLvl w:val="0"/>
        <w:rPr>
          <w:rFonts w:ascii="仿宋_GB2312" w:hAnsi="宋体" w:eastAsia="仿宋_GB2312"/>
          <w:b/>
          <w:sz w:val="28"/>
        </w:rPr>
      </w:pPr>
      <w:bookmarkStart w:id="0" w:name="_Toc330509912"/>
      <w:r>
        <w:rPr>
          <w:rFonts w:ascii="仿宋_GB2312" w:hAnsi="宋体" w:eastAsia="仿宋_GB2312"/>
          <w:b/>
          <w:sz w:val="28"/>
        </w:rPr>
        <w:t>201</w:t>
      </w:r>
      <w:r>
        <w:rPr>
          <w:rFonts w:hint="eastAsia" w:ascii="仿宋_GB2312" w:hAnsi="宋体" w:eastAsia="仿宋_GB2312"/>
          <w:b/>
          <w:sz w:val="28"/>
        </w:rPr>
        <w:t>8</w:t>
      </w:r>
      <w:r>
        <w:rPr>
          <w:rFonts w:ascii="仿宋_GB2312" w:hAnsi="宋体" w:eastAsia="仿宋_GB2312"/>
          <w:b/>
          <w:sz w:val="28"/>
        </w:rPr>
        <w:t>年第</w:t>
      </w:r>
      <w:r>
        <w:rPr>
          <w:rFonts w:hint="eastAsia" w:ascii="仿宋_GB2312" w:hAnsi="宋体" w:eastAsia="仿宋_GB2312"/>
          <w:b/>
          <w:sz w:val="28"/>
        </w:rPr>
        <w:t>22</w:t>
      </w:r>
      <w:r>
        <w:rPr>
          <w:rFonts w:ascii="仿宋_GB2312" w:hAnsi="宋体" w:eastAsia="仿宋_GB2312"/>
          <w:b/>
          <w:sz w:val="28"/>
        </w:rPr>
        <w:t>号</w:t>
      </w:r>
      <w:bookmarkEnd w:id="0"/>
    </w:p>
    <w:p>
      <w:pPr>
        <w:spacing w:line="440" w:lineRule="exact"/>
        <w:ind w:right="-96" w:firstLine="420"/>
        <w:rPr>
          <w:rFonts w:ascii="仿宋_GB2312" w:eastAsia="仿宋_GB2312"/>
          <w:sz w:val="32"/>
        </w:rPr>
      </w:pPr>
      <w:r>
        <w:rPr>
          <w:rFonts w:ascii="仿宋_GB2312" w:eastAsia="仿宋_GB2312"/>
        </w:rPr>
        <mc:AlternateContent>
          <mc:Choice Requires="wps">
            <w:drawing>
              <wp:anchor distT="0" distB="0" distL="114300" distR="114300" simplePos="0" relativeHeight="251658240" behindDoc="0" locked="0" layoutInCell="1" allowOverlap="1">
                <wp:simplePos x="0" y="0"/>
                <wp:positionH relativeFrom="column">
                  <wp:posOffset>114935</wp:posOffset>
                </wp:positionH>
                <wp:positionV relativeFrom="paragraph">
                  <wp:posOffset>116205</wp:posOffset>
                </wp:positionV>
                <wp:extent cx="5074920" cy="5080"/>
                <wp:effectExtent l="0" t="38100" r="11430" b="52070"/>
                <wp:wrapNone/>
                <wp:docPr id="1" name="Line 2"/>
                <wp:cNvGraphicFramePr/>
                <a:graphic xmlns:a="http://schemas.openxmlformats.org/drawingml/2006/main">
                  <a:graphicData uri="http://schemas.microsoft.com/office/word/2010/wordprocessingShape">
                    <wps:wsp>
                      <wps:cNvCnPr/>
                      <wps:spPr>
                        <a:xfrm>
                          <a:off x="0" y="0"/>
                          <a:ext cx="5074920" cy="5080"/>
                        </a:xfrm>
                        <a:prstGeom prst="line">
                          <a:avLst/>
                        </a:prstGeom>
                        <a:ln w="76200" cap="flat" cmpd="thickThin">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9.05pt;margin-top:9.15pt;height:0.4pt;width:399.6pt;z-index:251658240;mso-width-relative:page;mso-height-relative:page;" filled="f" stroked="t" coordsize="21600,21600" o:gfxdata="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DUI3UAAAACAEAAA8AAAAAAAAAAQAgAAAAIgAAAGRycy9kb3ducmV2LnhtbFBL&#10;AQIUABQAAAAIAIdO4kAjFt5NwQEAAIkDAAAOAAAAAAAAAAEAIAAAACMBAABkcnMvZTJvRG9jLnht&#10;bFBLBQYAAAAABgAGAFkBAABWBQAAAAA=&#10;">
                <v:fill on="f" focussize="0,0"/>
                <v:stroke weight="6pt" color="#000000" linestyle="thickThin" joinstyle="round"/>
                <v:imagedata o:title=""/>
                <o:lock v:ext="edit" aspectratio="f"/>
              </v:line>
            </w:pict>
          </mc:Fallback>
        </mc:AlternateContent>
      </w:r>
      <w:r>
        <w:rPr>
          <w:rFonts w:ascii="仿宋_GB2312" w:hAnsi="宋体" w:eastAsia="仿宋_GB2312"/>
          <w:b/>
          <w:sz w:val="28"/>
        </w:rPr>
        <w:t xml:space="preserve">  </w:t>
      </w:r>
    </w:p>
    <w:p>
      <w:pPr>
        <w:widowControl w:val="0"/>
        <w:spacing w:line="80" w:lineRule="exact"/>
        <w:ind w:firstLine="641"/>
        <w:jc w:val="center"/>
        <w:rPr>
          <w:rFonts w:ascii="黑体" w:hAnsi="黑体" w:eastAsia="黑体"/>
          <w:sz w:val="32"/>
        </w:rPr>
      </w:pPr>
    </w:p>
    <w:p>
      <w:pPr>
        <w:ind w:firstLine="420"/>
        <w:jc w:val="center"/>
        <w:rPr>
          <w:rFonts w:ascii="黑体" w:hAnsi="黑体" w:eastAsia="黑体"/>
          <w:sz w:val="32"/>
          <w:szCs w:val="32"/>
        </w:rPr>
      </w:pPr>
      <w:r>
        <w:rPr>
          <w:rFonts w:hint="eastAsia" w:ascii="黑体" w:hAnsi="黑体" w:eastAsia="黑体"/>
          <w:sz w:val="32"/>
          <w:szCs w:val="32"/>
        </w:rPr>
        <w:t>关于预评估后教学工作再梳理的通知</w:t>
      </w:r>
      <w:bookmarkStart w:id="1" w:name="_GoBack"/>
      <w:bookmarkEnd w:id="1"/>
    </w:p>
    <w:p>
      <w:pPr>
        <w:spacing w:line="440" w:lineRule="exact"/>
        <w:rPr>
          <w:rFonts w:asciiTheme="minorEastAsia" w:hAnsiTheme="minorEastAsia"/>
          <w:sz w:val="28"/>
          <w:szCs w:val="28"/>
        </w:rPr>
      </w:pPr>
      <w:r>
        <w:rPr>
          <w:rFonts w:hint="eastAsia" w:asciiTheme="minorEastAsia" w:hAnsiTheme="minorEastAsia"/>
          <w:sz w:val="28"/>
          <w:szCs w:val="28"/>
        </w:rPr>
        <w:t>根据3月23日预评估专家关于</w:t>
      </w:r>
      <w:r>
        <w:rPr>
          <w:rFonts w:hint="eastAsia" w:asciiTheme="minorEastAsia" w:hAnsiTheme="minorEastAsia"/>
          <w:color w:val="auto"/>
          <w:sz w:val="28"/>
          <w:szCs w:val="28"/>
          <w:shd w:val="clear" w:color="auto" w:fill="auto"/>
        </w:rPr>
        <w:t>本科教学工作</w:t>
      </w:r>
      <w:r>
        <w:rPr>
          <w:rFonts w:hint="eastAsia" w:asciiTheme="minorEastAsia" w:hAnsiTheme="minorEastAsia"/>
          <w:sz w:val="28"/>
          <w:szCs w:val="28"/>
        </w:rPr>
        <w:t>的反馈意见，结合我校实际情况和条件，按照“抓住重点、突出亮点”的原则，现就相关教学环节与教学档案材料的梳理工作提出如下要求和指导意见：</w:t>
      </w:r>
    </w:p>
    <w:p>
      <w:pPr>
        <w:spacing w:line="440" w:lineRule="exact"/>
        <w:rPr>
          <w:rFonts w:asciiTheme="minorEastAsia" w:hAnsiTheme="minorEastAsia"/>
          <w:sz w:val="28"/>
          <w:szCs w:val="28"/>
        </w:rPr>
      </w:pPr>
      <w:r>
        <w:rPr>
          <w:rFonts w:hint="eastAsia" w:asciiTheme="minorEastAsia" w:hAnsiTheme="minorEastAsia"/>
          <w:b/>
          <w:sz w:val="28"/>
          <w:szCs w:val="28"/>
        </w:rPr>
        <w:t>1、2017年人才培养方案目标修订</w:t>
      </w:r>
    </w:p>
    <w:p>
      <w:pPr>
        <w:spacing w:line="440" w:lineRule="exact"/>
        <w:rPr>
          <w:rFonts w:asciiTheme="minorEastAsia" w:hAnsiTheme="minorEastAsia"/>
          <w:sz w:val="28"/>
          <w:szCs w:val="28"/>
        </w:rPr>
      </w:pPr>
      <w:r>
        <w:rPr>
          <w:rFonts w:hint="eastAsia" w:asciiTheme="minorEastAsia" w:hAnsiTheme="minorEastAsia"/>
          <w:sz w:val="28"/>
          <w:szCs w:val="28"/>
        </w:rPr>
        <w:t>明确学院本科人才培养定位，定位级别可以选</w:t>
      </w:r>
      <w:r>
        <w:rPr>
          <w:rFonts w:hint="eastAsia" w:asciiTheme="minorEastAsia" w:hAnsiTheme="minorEastAsia"/>
          <w:b/>
          <w:bCs/>
          <w:sz w:val="28"/>
          <w:szCs w:val="28"/>
        </w:rPr>
        <w:t>高素质复合应用型人才或高素质应用型人才。</w:t>
      </w:r>
      <w:r>
        <w:rPr>
          <w:rFonts w:hint="eastAsia" w:asciiTheme="minorEastAsia" w:hAnsiTheme="minorEastAsia"/>
          <w:sz w:val="28"/>
          <w:szCs w:val="28"/>
        </w:rPr>
        <w:t>这两个级别属性在研究性、创新性、综合能力方面的体现是由高到低。</w:t>
      </w:r>
    </w:p>
    <w:p>
      <w:pPr>
        <w:spacing w:line="440" w:lineRule="exact"/>
        <w:rPr>
          <w:rFonts w:asciiTheme="minorEastAsia" w:hAnsiTheme="minorEastAsia"/>
          <w:sz w:val="28"/>
          <w:szCs w:val="28"/>
        </w:rPr>
      </w:pPr>
      <w:r>
        <w:rPr>
          <w:rFonts w:hint="eastAsia" w:asciiTheme="minorEastAsia" w:hAnsiTheme="minorEastAsia"/>
          <w:b/>
          <w:sz w:val="28"/>
          <w:szCs w:val="28"/>
        </w:rPr>
        <w:t>说明：</w:t>
      </w:r>
      <w:r>
        <w:rPr>
          <w:rFonts w:hint="eastAsia" w:asciiTheme="minorEastAsia" w:hAnsiTheme="minorEastAsia"/>
          <w:sz w:val="28"/>
          <w:szCs w:val="28"/>
        </w:rPr>
        <w:t>教育部一度将本科人才培养分为拔尖创新型、复合型、应用型三个层次。拔尖创新型旨在培养高级研究者、行业领导、技术领先者、领袖人物，应用型则意在培养有实践能力、掌握实用技能的人才，复合型界于两者之间，培养既有一定创新研究能力，也兼具专业实践能力和重要技能的人才。目前关于复合型概念又进一步延伸出新内涵，按层次即有研究型与技能型复合的含义，也有一专多能含义，还延伸出知识复合、能力复合、思维复合等含义。</w:t>
      </w:r>
    </w:p>
    <w:p>
      <w:pPr>
        <w:spacing w:line="440" w:lineRule="exact"/>
        <w:rPr>
          <w:rFonts w:asciiTheme="minorEastAsia" w:hAnsiTheme="minorEastAsia"/>
          <w:sz w:val="28"/>
          <w:szCs w:val="28"/>
        </w:rPr>
      </w:pPr>
      <w:r>
        <w:rPr>
          <w:rFonts w:hint="eastAsia" w:asciiTheme="minorEastAsia" w:hAnsiTheme="minorEastAsia"/>
          <w:b/>
          <w:sz w:val="28"/>
          <w:szCs w:val="28"/>
        </w:rPr>
        <w:t>建议：</w:t>
      </w:r>
      <w:r>
        <w:rPr>
          <w:rFonts w:hint="eastAsia" w:asciiTheme="minorEastAsia" w:hAnsiTheme="minorEastAsia"/>
          <w:sz w:val="28"/>
          <w:szCs w:val="28"/>
        </w:rPr>
        <w:t>专业性强、学科优势强的学院专业人才培养目标定位为高素质复合应用型人才，其复合性体现在学生培养的创新能力与专业应用能力的复合性上。</w:t>
      </w:r>
    </w:p>
    <w:p>
      <w:pPr>
        <w:spacing w:line="440" w:lineRule="exact"/>
        <w:rPr>
          <w:rFonts w:asciiTheme="minorEastAsia" w:hAnsiTheme="minorEastAsia"/>
          <w:sz w:val="28"/>
          <w:szCs w:val="28"/>
        </w:rPr>
      </w:pPr>
      <w:r>
        <w:rPr>
          <w:rFonts w:hint="eastAsia" w:asciiTheme="minorEastAsia" w:hAnsiTheme="minorEastAsia"/>
          <w:sz w:val="28"/>
          <w:szCs w:val="28"/>
        </w:rPr>
        <w:t>产业综合性强的专业也建议人才培养目标定位为高素质复合型人才，其复合性体现在一专多能、知识复合、综合应用能力复合上。</w:t>
      </w:r>
    </w:p>
    <w:p>
      <w:pPr>
        <w:spacing w:line="440" w:lineRule="exact"/>
        <w:rPr>
          <w:rFonts w:asciiTheme="minorEastAsia" w:hAnsiTheme="minorEastAsia"/>
          <w:sz w:val="28"/>
          <w:szCs w:val="28"/>
        </w:rPr>
      </w:pPr>
      <w:r>
        <w:rPr>
          <w:rFonts w:hint="eastAsia" w:asciiTheme="minorEastAsia" w:hAnsiTheme="minorEastAsia"/>
          <w:sz w:val="28"/>
          <w:szCs w:val="28"/>
        </w:rPr>
        <w:t>少数民族班级及学科条件偏弱的专业建议人才培养目标定位为高素质应用型人才。其培养重点在于专业综合应用能力培养。</w:t>
      </w:r>
    </w:p>
    <w:p>
      <w:pPr>
        <w:spacing w:line="440" w:lineRule="exact"/>
        <w:ind w:firstLine="562" w:firstLineChars="200"/>
        <w:rPr>
          <w:rFonts w:asciiTheme="minorEastAsia" w:hAnsiTheme="minorEastAsia"/>
          <w:b/>
          <w:sz w:val="28"/>
          <w:szCs w:val="28"/>
        </w:rPr>
      </w:pPr>
      <w:r>
        <w:rPr>
          <w:rFonts w:hint="eastAsia" w:asciiTheme="minorEastAsia" w:hAnsiTheme="minorEastAsia"/>
          <w:b/>
          <w:sz w:val="28"/>
          <w:szCs w:val="28"/>
        </w:rPr>
        <w:t>修订工作要求：请在教务处返还的经统一排版的人才培养方案上修订，交回时间最晚在4月10前，教务处联系人：李波</w:t>
      </w:r>
    </w:p>
    <w:p>
      <w:pPr>
        <w:spacing w:line="440" w:lineRule="exact"/>
        <w:rPr>
          <w:rFonts w:hint="eastAsia" w:asciiTheme="minorEastAsia" w:hAnsiTheme="minorEastAsia"/>
          <w:b/>
          <w:sz w:val="28"/>
          <w:szCs w:val="28"/>
        </w:rPr>
      </w:pPr>
    </w:p>
    <w:p>
      <w:pPr>
        <w:spacing w:line="440" w:lineRule="exact"/>
        <w:rPr>
          <w:rFonts w:asciiTheme="minorEastAsia" w:hAnsiTheme="minorEastAsia"/>
          <w:sz w:val="28"/>
          <w:szCs w:val="28"/>
        </w:rPr>
      </w:pPr>
      <w:r>
        <w:rPr>
          <w:rFonts w:hint="eastAsia" w:asciiTheme="minorEastAsia" w:hAnsiTheme="minorEastAsia"/>
          <w:b/>
          <w:sz w:val="28"/>
          <w:szCs w:val="28"/>
        </w:rPr>
        <w:t>2、实践教学支撑材料汇集</w:t>
      </w:r>
    </w:p>
    <w:p>
      <w:pPr>
        <w:spacing w:line="440" w:lineRule="exact"/>
        <w:rPr>
          <w:rFonts w:asciiTheme="minorEastAsia" w:hAnsiTheme="minorEastAsia"/>
          <w:sz w:val="28"/>
          <w:szCs w:val="28"/>
        </w:rPr>
      </w:pPr>
      <w:r>
        <w:rPr>
          <w:rFonts w:hint="eastAsia" w:asciiTheme="minorEastAsia" w:hAnsiTheme="minorEastAsia"/>
          <w:sz w:val="28"/>
          <w:szCs w:val="28"/>
        </w:rPr>
        <w:t>汇编本单位实践教学亮点材料，内容可包括近3-5年校内外实践教学情况简介或小结、照片、学生心得选编、企业或用人单位评价选编、联系企业清单、实习项目清单、企业导师名单、实验项目清单等，不限上述内容。要能体现专业实习综合性、复合性、有效性、扎实性、服务社会性或生产性等某一或某些特点。汇编可按年或班或企业或实习主题或实习安排方式汇集，字数页数不限，提倡精炼，各部分有画龙点晴的教学理念说明（说明相关安排的教学价值、学生成长价值、能力培养价值等）。</w:t>
      </w:r>
    </w:p>
    <w:p>
      <w:pPr>
        <w:spacing w:line="440" w:lineRule="exact"/>
        <w:rPr>
          <w:rFonts w:asciiTheme="minorEastAsia" w:hAnsiTheme="minorEastAsia"/>
          <w:sz w:val="28"/>
          <w:szCs w:val="28"/>
        </w:rPr>
      </w:pPr>
      <w:r>
        <w:rPr>
          <w:rFonts w:hint="eastAsia" w:asciiTheme="minorEastAsia" w:hAnsiTheme="minorEastAsia"/>
          <w:b/>
          <w:sz w:val="28"/>
          <w:szCs w:val="28"/>
        </w:rPr>
        <w:t>汇编装订格式建议为：</w:t>
      </w:r>
      <w:r>
        <w:rPr>
          <w:rFonts w:hint="eastAsia" w:asciiTheme="minorEastAsia" w:hAnsiTheme="minorEastAsia"/>
          <w:sz w:val="28"/>
          <w:szCs w:val="28"/>
        </w:rPr>
        <w:t>封面（铜版纸，标题为**学院实践教学事例选编）、扉页（写编委或实践教学理念简介，也可以是本专业人才培养目标）、内容目录、正文、封底。</w:t>
      </w:r>
    </w:p>
    <w:p>
      <w:pPr>
        <w:spacing w:line="440" w:lineRule="exact"/>
        <w:rPr>
          <w:rFonts w:asciiTheme="minorEastAsia" w:hAnsiTheme="minorEastAsia"/>
          <w:sz w:val="28"/>
          <w:szCs w:val="28"/>
        </w:rPr>
      </w:pPr>
      <w:r>
        <w:rPr>
          <w:rFonts w:hint="eastAsia" w:asciiTheme="minorEastAsia" w:hAnsiTheme="minorEastAsia"/>
          <w:b/>
          <w:sz w:val="28"/>
          <w:szCs w:val="28"/>
        </w:rPr>
        <w:t>工作要求：</w:t>
      </w:r>
      <w:r>
        <w:rPr>
          <w:rFonts w:hint="eastAsia" w:asciiTheme="minorEastAsia" w:hAnsiTheme="minorEastAsia"/>
          <w:sz w:val="28"/>
          <w:szCs w:val="28"/>
        </w:rPr>
        <w:t>4月30日前将汇编成册的实践教学亮点材料报教务处，教务处联系人：赵蓓、侯伟伟</w:t>
      </w:r>
    </w:p>
    <w:p>
      <w:pPr>
        <w:spacing w:line="440" w:lineRule="exact"/>
        <w:rPr>
          <w:rFonts w:asciiTheme="minorEastAsia" w:hAnsiTheme="minorEastAsia"/>
          <w:b/>
          <w:sz w:val="28"/>
          <w:szCs w:val="28"/>
        </w:rPr>
      </w:pPr>
      <w:r>
        <w:rPr>
          <w:rFonts w:hint="eastAsia" w:asciiTheme="minorEastAsia" w:hAnsiTheme="minorEastAsia"/>
          <w:b/>
          <w:sz w:val="28"/>
          <w:szCs w:val="28"/>
        </w:rPr>
        <w:t>3、做好教学准备与演练工作</w:t>
      </w:r>
    </w:p>
    <w:p>
      <w:pPr>
        <w:spacing w:line="440" w:lineRule="exact"/>
        <w:rPr>
          <w:rFonts w:asciiTheme="minorEastAsia" w:hAnsiTheme="minorEastAsia"/>
          <w:sz w:val="28"/>
          <w:szCs w:val="28"/>
        </w:rPr>
      </w:pPr>
      <w:r>
        <w:rPr>
          <w:rFonts w:hint="eastAsia" w:asciiTheme="minorEastAsia" w:hAnsiTheme="minorEastAsia"/>
          <w:sz w:val="28"/>
          <w:szCs w:val="28"/>
        </w:rPr>
        <w:t>各单位须对评估期间（5月14日-5月17日）所排课程（理论课和实验课）（见附件1）讲授内容开展不同形式的演练工作。</w:t>
      </w:r>
    </w:p>
    <w:p>
      <w:pPr>
        <w:spacing w:line="440" w:lineRule="exact"/>
        <w:rPr>
          <w:rFonts w:asciiTheme="minorEastAsia" w:hAnsiTheme="minorEastAsia"/>
          <w:sz w:val="28"/>
          <w:szCs w:val="28"/>
        </w:rPr>
      </w:pPr>
      <w:r>
        <w:rPr>
          <w:rFonts w:hint="eastAsia" w:asciiTheme="minorEastAsia" w:hAnsiTheme="minorEastAsia"/>
          <w:b/>
          <w:sz w:val="28"/>
          <w:szCs w:val="28"/>
        </w:rPr>
        <w:t>要求：</w:t>
      </w:r>
      <w:r>
        <w:rPr>
          <w:rFonts w:hint="eastAsia" w:asciiTheme="minorEastAsia" w:hAnsiTheme="minorEastAsia"/>
          <w:sz w:val="28"/>
          <w:szCs w:val="28"/>
        </w:rPr>
        <w:t>评估期间有课的教师应提前准备好课堂教学内容，教学中应穿插专业实践案例、育人事例、启发性问题等能让学生明大德、立宏志、深思考的内容，尽可能地体现我校教学以学生成长为己任、以能力培养为目标、以学为主、产出导向的教学理念。</w:t>
      </w:r>
    </w:p>
    <w:p>
      <w:pPr>
        <w:spacing w:line="440" w:lineRule="exact"/>
        <w:rPr>
          <w:rFonts w:asciiTheme="minorEastAsia" w:hAnsiTheme="minorEastAsia"/>
          <w:sz w:val="28"/>
          <w:szCs w:val="28"/>
        </w:rPr>
      </w:pPr>
      <w:r>
        <w:rPr>
          <w:rFonts w:hint="eastAsia" w:asciiTheme="minorEastAsia" w:hAnsiTheme="minorEastAsia"/>
          <w:sz w:val="28"/>
          <w:szCs w:val="28"/>
        </w:rPr>
        <w:t>教学单位应提前对教师提出要求，并检查其准备情况。</w:t>
      </w:r>
    </w:p>
    <w:p>
      <w:pPr>
        <w:spacing w:line="440" w:lineRule="exact"/>
        <w:rPr>
          <w:rFonts w:asciiTheme="minorEastAsia" w:hAnsiTheme="minorEastAsia"/>
          <w:sz w:val="28"/>
          <w:szCs w:val="28"/>
        </w:rPr>
      </w:pPr>
      <w:r>
        <w:rPr>
          <w:rFonts w:hint="eastAsia" w:asciiTheme="minorEastAsia" w:hAnsiTheme="minorEastAsia"/>
          <w:sz w:val="28"/>
          <w:szCs w:val="28"/>
        </w:rPr>
        <w:t>教学单位应邀请教学能力强、经验丰富的教师，针对本单位专业教学情况对全院教师课堂教学管理与教学方法开展指导，真正实现以评促建。</w:t>
      </w:r>
    </w:p>
    <w:p>
      <w:pPr>
        <w:spacing w:line="440" w:lineRule="exact"/>
        <w:rPr>
          <w:rFonts w:asciiTheme="minorEastAsia" w:hAnsiTheme="minorEastAsia"/>
          <w:sz w:val="28"/>
          <w:szCs w:val="28"/>
        </w:rPr>
      </w:pPr>
      <w:r>
        <w:rPr>
          <w:rFonts w:hint="eastAsia" w:asciiTheme="minorEastAsia" w:hAnsiTheme="minorEastAsia"/>
          <w:b/>
          <w:sz w:val="28"/>
          <w:szCs w:val="28"/>
        </w:rPr>
        <w:t>说明：</w:t>
      </w:r>
      <w:r>
        <w:rPr>
          <w:rFonts w:hint="eastAsia" w:asciiTheme="minorEastAsia" w:hAnsiTheme="minorEastAsia"/>
          <w:sz w:val="28"/>
          <w:szCs w:val="28"/>
        </w:rPr>
        <w:t>评估期间有些专家会采取在教室外巡回的方式听课，听课半天覆盖全教学楼，因此各单位要高度重视，保证师生以最好的状态和面貌迎接评估。</w:t>
      </w:r>
    </w:p>
    <w:p>
      <w:pPr>
        <w:spacing w:line="440" w:lineRule="exact"/>
        <w:rPr>
          <w:rFonts w:asciiTheme="minorEastAsia" w:hAnsiTheme="minorEastAsia"/>
          <w:b/>
          <w:sz w:val="28"/>
          <w:szCs w:val="28"/>
        </w:rPr>
      </w:pPr>
      <w:r>
        <w:rPr>
          <w:rFonts w:hint="eastAsia" w:asciiTheme="minorEastAsia" w:hAnsiTheme="minorEastAsia"/>
          <w:b/>
          <w:sz w:val="28"/>
          <w:szCs w:val="28"/>
        </w:rPr>
        <w:t>4、特殊材料准备</w:t>
      </w:r>
    </w:p>
    <w:p>
      <w:pPr>
        <w:spacing w:line="440" w:lineRule="exact"/>
        <w:rPr>
          <w:rFonts w:asciiTheme="minorEastAsia" w:hAnsiTheme="minorEastAsia"/>
          <w:sz w:val="28"/>
          <w:szCs w:val="28"/>
        </w:rPr>
      </w:pPr>
      <w:r>
        <w:rPr>
          <w:rFonts w:hint="eastAsia" w:asciiTheme="minorEastAsia" w:hAnsiTheme="minorEastAsia"/>
          <w:sz w:val="28"/>
          <w:szCs w:val="28"/>
        </w:rPr>
        <w:t>以下为我校各类专业荣誉和建设项目，请相关单位准备汇集这些专业建设情况，也为以后的专业审核评估奠定基础。</w:t>
      </w:r>
    </w:p>
    <w:p>
      <w:pPr>
        <w:spacing w:line="440" w:lineRule="exact"/>
        <w:rPr>
          <w:rFonts w:asciiTheme="minorEastAsia" w:hAnsiTheme="minorEastAsia"/>
          <w:sz w:val="28"/>
          <w:szCs w:val="28"/>
        </w:rPr>
      </w:pPr>
      <w:r>
        <w:rPr>
          <w:rFonts w:hint="eastAsia" w:asciiTheme="minorEastAsia" w:hAnsiTheme="minorEastAsia"/>
          <w:sz w:val="28"/>
          <w:szCs w:val="28"/>
        </w:rPr>
        <w:t>具体内容为整理当初项目立项、验收和总结材料，说明曾经的建设成果和现期的新发展，并将学院相关已成型的亮点材料汇编作为附件支撑材料，包括：各亮点项目简介和照片、优秀毕业生简介、学生创新创业事例简介、用人单位评价反馈事例、科研资助本科教学事例等，以及近五年教学成果清单、教研项目清单、学科竞赛获奖清单、学生发表论文清单、实习基地清单、创新创业项目清单、学生参加科研项目清单、与本科教学相关的企业合作项目清单等等。</w:t>
      </w:r>
    </w:p>
    <w:p>
      <w:pPr>
        <w:spacing w:line="440" w:lineRule="exact"/>
        <w:rPr>
          <w:rFonts w:asciiTheme="minorEastAsia" w:hAnsiTheme="minorEastAsia"/>
          <w:sz w:val="28"/>
          <w:szCs w:val="28"/>
        </w:rPr>
      </w:pPr>
      <w:r>
        <w:rPr>
          <w:rFonts w:hint="eastAsia" w:asciiTheme="minorEastAsia" w:hAnsiTheme="minorEastAsia"/>
          <w:sz w:val="28"/>
          <w:szCs w:val="28"/>
        </w:rPr>
        <w:t>新立项的可整理当初立项申请书材料，结合现期工作进展与近期建设计划归整材料，附件支撑材料与上同。</w:t>
      </w:r>
    </w:p>
    <w:p>
      <w:pPr>
        <w:pStyle w:val="2"/>
        <w:spacing w:before="156" w:beforeLines="50" w:line="440" w:lineRule="exact"/>
        <w:ind w:left="0" w:firstLine="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国家与自治区级专业建设项目一览表</w:t>
      </w:r>
    </w:p>
    <w:tbl>
      <w:tblPr>
        <w:tblStyle w:val="5"/>
        <w:tblW w:w="871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2126"/>
        <w:gridCol w:w="3650"/>
        <w:gridCol w:w="10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3971" w:type="dxa"/>
            <w:gridSpan w:val="2"/>
            <w:tcBorders>
              <w:top w:val="single" w:color="auto" w:sz="4" w:space="0"/>
              <w:bottom w:val="single" w:color="auto" w:sz="4" w:space="0"/>
            </w:tcBorders>
            <w:vAlign w:val="center"/>
          </w:tcPr>
          <w:p>
            <w:pPr>
              <w:spacing w:line="28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项目类别</w:t>
            </w:r>
          </w:p>
        </w:tc>
        <w:tc>
          <w:tcPr>
            <w:tcW w:w="3650" w:type="dxa"/>
            <w:tcBorders>
              <w:top w:val="single" w:color="auto" w:sz="4" w:space="0"/>
              <w:bottom w:val="single" w:color="auto" w:sz="4" w:space="0"/>
            </w:tcBorders>
          </w:tcPr>
          <w:p>
            <w:pPr>
              <w:spacing w:line="280" w:lineRule="exact"/>
              <w:ind w:firstLine="0"/>
              <w:jc w:val="both"/>
              <w:rPr>
                <w:rFonts w:cs="宋体" w:asciiTheme="minorEastAsia" w:hAnsiTheme="minorEastAsia"/>
                <w:kern w:val="0"/>
                <w:sz w:val="24"/>
                <w:szCs w:val="24"/>
              </w:rPr>
            </w:pPr>
          </w:p>
          <w:p>
            <w:pPr>
              <w:spacing w:line="280" w:lineRule="exact"/>
              <w:ind w:firstLine="1365" w:firstLineChars="569"/>
              <w:jc w:val="both"/>
              <w:rPr>
                <w:rFonts w:cs="宋体" w:asciiTheme="minorEastAsia" w:hAnsiTheme="minorEastAsia"/>
                <w:kern w:val="0"/>
                <w:sz w:val="24"/>
                <w:szCs w:val="24"/>
              </w:rPr>
            </w:pPr>
            <w:r>
              <w:rPr>
                <w:rFonts w:hint="eastAsia" w:cs="宋体" w:asciiTheme="minorEastAsia" w:hAnsiTheme="minorEastAsia"/>
                <w:kern w:val="0"/>
                <w:sz w:val="24"/>
                <w:szCs w:val="24"/>
              </w:rPr>
              <w:t>专业</w:t>
            </w:r>
          </w:p>
        </w:tc>
        <w:tc>
          <w:tcPr>
            <w:tcW w:w="1092" w:type="dxa"/>
            <w:tcBorders>
              <w:top w:val="single" w:color="auto" w:sz="4" w:space="0"/>
              <w:bottom w:val="single" w:color="auto" w:sz="4" w:space="0"/>
            </w:tcBorders>
            <w:vAlign w:val="center"/>
          </w:tcPr>
          <w:p>
            <w:pPr>
              <w:spacing w:line="3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专业</w:t>
            </w:r>
          </w:p>
          <w:p>
            <w:pPr>
              <w:spacing w:line="3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数量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71" w:type="dxa"/>
            <w:gridSpan w:val="2"/>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国家专业综合改革试点项目</w:t>
            </w:r>
          </w:p>
        </w:tc>
        <w:tc>
          <w:tcPr>
            <w:tcW w:w="3650" w:type="dxa"/>
            <w:tcBorders>
              <w:top w:val="single" w:color="auto" w:sz="4" w:space="0"/>
              <w:bottom w:val="single" w:color="auto" w:sz="4" w:space="0"/>
            </w:tcBorders>
          </w:tcPr>
          <w:p>
            <w:pPr>
              <w:spacing w:line="44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水利水电工程</w:t>
            </w:r>
          </w:p>
        </w:tc>
        <w:tc>
          <w:tcPr>
            <w:tcW w:w="1092" w:type="dxa"/>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71" w:type="dxa"/>
            <w:gridSpan w:val="2"/>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国家级特色专业建设点</w:t>
            </w:r>
          </w:p>
        </w:tc>
        <w:tc>
          <w:tcPr>
            <w:tcW w:w="3650" w:type="dxa"/>
            <w:tcBorders>
              <w:top w:val="single" w:color="auto" w:sz="4" w:space="0"/>
              <w:bottom w:val="single" w:color="auto" w:sz="4" w:space="0"/>
            </w:tcBorders>
          </w:tcPr>
          <w:p>
            <w:pPr>
              <w:spacing w:line="400" w:lineRule="exact"/>
              <w:ind w:firstLine="0"/>
              <w:jc w:val="both"/>
              <w:rPr>
                <w:rFonts w:cs="宋体" w:asciiTheme="minorEastAsia" w:hAnsiTheme="minorEastAsia"/>
                <w:kern w:val="0"/>
                <w:sz w:val="24"/>
                <w:szCs w:val="24"/>
              </w:rPr>
            </w:pPr>
            <w:r>
              <w:rPr>
                <w:rFonts w:hint="eastAsia" w:cs="宋体" w:asciiTheme="minorEastAsia" w:hAnsiTheme="minorEastAsia"/>
                <w:kern w:val="0"/>
                <w:sz w:val="24"/>
                <w:szCs w:val="24"/>
              </w:rPr>
              <w:t>草业科学、农学、动物科学、</w:t>
            </w:r>
          </w:p>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种子科学与工程、水利水电工程、</w:t>
            </w:r>
          </w:p>
          <w:p>
            <w:pPr>
              <w:spacing w:line="400" w:lineRule="exact"/>
              <w:ind w:firstLine="0"/>
              <w:jc w:val="both"/>
              <w:rPr>
                <w:rFonts w:cs="宋体" w:asciiTheme="minorEastAsia" w:hAnsiTheme="minorEastAsia"/>
                <w:kern w:val="0"/>
                <w:sz w:val="24"/>
                <w:szCs w:val="24"/>
              </w:rPr>
            </w:pPr>
            <w:r>
              <w:rPr>
                <w:rFonts w:hint="eastAsia" w:cs="宋体" w:asciiTheme="minorEastAsia" w:hAnsiTheme="minorEastAsia"/>
                <w:kern w:val="0"/>
                <w:sz w:val="24"/>
                <w:szCs w:val="24"/>
              </w:rPr>
              <w:t>农业资源与环境、园艺</w:t>
            </w:r>
          </w:p>
        </w:tc>
        <w:tc>
          <w:tcPr>
            <w:tcW w:w="1092" w:type="dxa"/>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45" w:type="dxa"/>
            <w:vMerge w:val="restart"/>
            <w:tcBorders>
              <w:top w:val="single" w:color="auto" w:sz="4" w:space="0"/>
              <w:bottom w:val="nil"/>
            </w:tcBorders>
            <w:vAlign w:val="center"/>
          </w:tcPr>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国家卓越农林人才培养计划项目</w:t>
            </w:r>
          </w:p>
        </w:tc>
        <w:tc>
          <w:tcPr>
            <w:tcW w:w="2126" w:type="dxa"/>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拔尖创新型人才</w:t>
            </w:r>
          </w:p>
        </w:tc>
        <w:tc>
          <w:tcPr>
            <w:tcW w:w="3650" w:type="dxa"/>
            <w:tcBorders>
              <w:top w:val="single" w:color="auto" w:sz="4" w:space="0"/>
              <w:bottom w:val="single" w:color="auto" w:sz="4" w:space="0"/>
            </w:tcBorders>
          </w:tcPr>
          <w:p>
            <w:pPr>
              <w:spacing w:line="44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草业科学</w:t>
            </w:r>
          </w:p>
        </w:tc>
        <w:tc>
          <w:tcPr>
            <w:tcW w:w="1092" w:type="dxa"/>
            <w:vMerge w:val="restart"/>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45" w:type="dxa"/>
            <w:vMerge w:val="continue"/>
            <w:tcBorders>
              <w:top w:val="nil"/>
              <w:bottom w:val="single" w:color="auto" w:sz="4" w:space="0"/>
            </w:tcBorders>
            <w:vAlign w:val="center"/>
          </w:tcPr>
          <w:p>
            <w:pPr>
              <w:spacing w:line="440" w:lineRule="exact"/>
              <w:ind w:firstLine="0"/>
              <w:jc w:val="center"/>
              <w:rPr>
                <w:rFonts w:cs="宋体" w:asciiTheme="minorEastAsia" w:hAnsiTheme="minorEastAsia"/>
                <w:kern w:val="0"/>
                <w:sz w:val="24"/>
                <w:szCs w:val="24"/>
              </w:rPr>
            </w:pPr>
          </w:p>
        </w:tc>
        <w:tc>
          <w:tcPr>
            <w:tcW w:w="2126" w:type="dxa"/>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复合应用型人才</w:t>
            </w:r>
          </w:p>
        </w:tc>
        <w:tc>
          <w:tcPr>
            <w:tcW w:w="3650" w:type="dxa"/>
            <w:tcBorders>
              <w:top w:val="single" w:color="auto" w:sz="4" w:space="0"/>
              <w:bottom w:val="single" w:color="auto" w:sz="4" w:space="0"/>
            </w:tcBorders>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动物科学、水利水电工程</w:t>
            </w:r>
          </w:p>
        </w:tc>
        <w:tc>
          <w:tcPr>
            <w:tcW w:w="1092" w:type="dxa"/>
            <w:vMerge w:val="continue"/>
            <w:tcBorders>
              <w:top w:val="nil"/>
              <w:bottom w:val="single" w:color="auto" w:sz="4" w:space="0"/>
            </w:tcBorders>
            <w:vAlign w:val="center"/>
          </w:tcPr>
          <w:p>
            <w:pPr>
              <w:spacing w:line="440" w:lineRule="exact"/>
              <w:ind w:firstLine="0"/>
              <w:jc w:val="center"/>
              <w:rPr>
                <w:rFonts w:cs="宋体" w:asciiTheme="minorEastAsia" w:hAnsiTheme="minorEastAsia"/>
                <w:kern w:val="0"/>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71" w:type="dxa"/>
            <w:gridSpan w:val="2"/>
            <w:tcBorders>
              <w:top w:val="single" w:color="auto" w:sz="4" w:space="0"/>
              <w:bottom w:val="single" w:color="auto" w:sz="4" w:space="0"/>
            </w:tcBorders>
            <w:vAlign w:val="center"/>
          </w:tcPr>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国家卓越工程师计划</w:t>
            </w:r>
          </w:p>
        </w:tc>
        <w:tc>
          <w:tcPr>
            <w:tcW w:w="3650" w:type="dxa"/>
            <w:tcBorders>
              <w:top w:val="single" w:color="auto" w:sz="4" w:space="0"/>
              <w:bottom w:val="single" w:color="auto" w:sz="4" w:space="0"/>
            </w:tcBorders>
          </w:tcPr>
          <w:p>
            <w:pPr>
              <w:spacing w:line="40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农业机械化及其自动化、计算机科学与技术（软件工程方向）</w:t>
            </w:r>
          </w:p>
        </w:tc>
        <w:tc>
          <w:tcPr>
            <w:tcW w:w="1092" w:type="dxa"/>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45" w:type="dxa"/>
            <w:vMerge w:val="restart"/>
            <w:tcBorders>
              <w:top w:val="single" w:color="auto" w:sz="4" w:space="0"/>
              <w:bottom w:val="nil"/>
            </w:tcBorders>
            <w:vAlign w:val="center"/>
          </w:tcPr>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自治区重点专业建设项目</w:t>
            </w:r>
          </w:p>
        </w:tc>
        <w:tc>
          <w:tcPr>
            <w:tcW w:w="2126" w:type="dxa"/>
            <w:tcBorders>
              <w:top w:val="single" w:color="auto" w:sz="4" w:space="0"/>
              <w:bottom w:val="single" w:color="auto" w:sz="4" w:space="0"/>
            </w:tcBorders>
            <w:vAlign w:val="center"/>
          </w:tcPr>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特色品牌专业</w:t>
            </w:r>
          </w:p>
        </w:tc>
        <w:tc>
          <w:tcPr>
            <w:tcW w:w="3650" w:type="dxa"/>
            <w:tcBorders>
              <w:top w:val="single" w:color="auto" w:sz="4" w:space="0"/>
              <w:bottom w:val="single" w:color="auto" w:sz="4" w:space="0"/>
            </w:tcBorders>
          </w:tcPr>
          <w:p>
            <w:pPr>
              <w:spacing w:line="40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水利水电工程</w:t>
            </w:r>
          </w:p>
        </w:tc>
        <w:tc>
          <w:tcPr>
            <w:tcW w:w="1092" w:type="dxa"/>
            <w:vMerge w:val="restart"/>
            <w:tcBorders>
              <w:top w:val="nil"/>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45" w:type="dxa"/>
            <w:vMerge w:val="continue"/>
            <w:tcBorders>
              <w:top w:val="nil"/>
              <w:bottom w:val="nil"/>
            </w:tcBorders>
            <w:vAlign w:val="center"/>
          </w:tcPr>
          <w:p>
            <w:pPr>
              <w:spacing w:line="400" w:lineRule="exact"/>
              <w:ind w:firstLine="0"/>
              <w:jc w:val="center"/>
              <w:rPr>
                <w:rFonts w:cs="宋体" w:asciiTheme="minorEastAsia" w:hAnsiTheme="minorEastAsia"/>
                <w:kern w:val="0"/>
                <w:sz w:val="24"/>
                <w:szCs w:val="24"/>
              </w:rPr>
            </w:pPr>
          </w:p>
        </w:tc>
        <w:tc>
          <w:tcPr>
            <w:tcW w:w="2126" w:type="dxa"/>
            <w:tcBorders>
              <w:top w:val="single" w:color="auto" w:sz="4" w:space="0"/>
              <w:bottom w:val="nil"/>
            </w:tcBorders>
            <w:vAlign w:val="center"/>
          </w:tcPr>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战略新兴专业</w:t>
            </w:r>
          </w:p>
        </w:tc>
        <w:tc>
          <w:tcPr>
            <w:tcW w:w="3650" w:type="dxa"/>
            <w:tcBorders>
              <w:top w:val="single" w:color="auto" w:sz="4" w:space="0"/>
              <w:bottom w:val="nil"/>
            </w:tcBorders>
          </w:tcPr>
          <w:p>
            <w:pPr>
              <w:spacing w:line="40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葡萄与葡萄酒工艺、物联网工程</w:t>
            </w:r>
          </w:p>
        </w:tc>
        <w:tc>
          <w:tcPr>
            <w:tcW w:w="1092" w:type="dxa"/>
            <w:vMerge w:val="continue"/>
            <w:tcBorders>
              <w:top w:val="nil"/>
              <w:bottom w:val="single" w:color="auto" w:sz="4" w:space="0"/>
            </w:tcBorders>
            <w:vAlign w:val="center"/>
          </w:tcPr>
          <w:p>
            <w:pPr>
              <w:spacing w:line="440" w:lineRule="exact"/>
              <w:ind w:firstLine="0"/>
              <w:jc w:val="center"/>
              <w:rPr>
                <w:rFonts w:cs="宋体" w:asciiTheme="minorEastAsia" w:hAnsiTheme="minorEastAsia"/>
                <w:kern w:val="0"/>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45" w:type="dxa"/>
            <w:vMerge w:val="continue"/>
            <w:tcBorders>
              <w:top w:val="nil"/>
              <w:bottom w:val="nil"/>
            </w:tcBorders>
            <w:vAlign w:val="center"/>
          </w:tcPr>
          <w:p>
            <w:pPr>
              <w:spacing w:line="400" w:lineRule="exact"/>
              <w:ind w:firstLine="0"/>
              <w:jc w:val="center"/>
              <w:rPr>
                <w:rFonts w:cs="宋体" w:asciiTheme="minorEastAsia" w:hAnsiTheme="minorEastAsia"/>
                <w:kern w:val="0"/>
                <w:sz w:val="24"/>
                <w:szCs w:val="24"/>
              </w:rPr>
            </w:pPr>
          </w:p>
        </w:tc>
        <w:tc>
          <w:tcPr>
            <w:tcW w:w="2126" w:type="dxa"/>
            <w:tcBorders>
              <w:top w:val="single" w:color="auto" w:sz="4" w:space="0"/>
              <w:bottom w:val="nil"/>
            </w:tcBorders>
            <w:vAlign w:val="center"/>
          </w:tcPr>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创新创业试点</w:t>
            </w:r>
          </w:p>
          <w:p>
            <w:pPr>
              <w:spacing w:line="40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专业</w:t>
            </w:r>
          </w:p>
        </w:tc>
        <w:tc>
          <w:tcPr>
            <w:tcW w:w="3650" w:type="dxa"/>
            <w:tcBorders>
              <w:top w:val="single" w:color="auto" w:sz="4" w:space="0"/>
              <w:bottom w:val="nil"/>
            </w:tcBorders>
          </w:tcPr>
          <w:p>
            <w:pPr>
              <w:spacing w:line="40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国际经济与贸易、动物医学、</w:t>
            </w:r>
          </w:p>
          <w:p>
            <w:pPr>
              <w:spacing w:line="40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园艺</w:t>
            </w:r>
          </w:p>
        </w:tc>
        <w:tc>
          <w:tcPr>
            <w:tcW w:w="1092" w:type="dxa"/>
            <w:vMerge w:val="continue"/>
            <w:tcBorders>
              <w:top w:val="nil"/>
              <w:bottom w:val="single" w:color="auto" w:sz="4" w:space="0"/>
            </w:tcBorders>
            <w:vAlign w:val="center"/>
          </w:tcPr>
          <w:p>
            <w:pPr>
              <w:spacing w:line="440" w:lineRule="exact"/>
              <w:ind w:firstLine="0"/>
              <w:jc w:val="center"/>
              <w:rPr>
                <w:rFonts w:cs="宋体" w:asciiTheme="minorEastAsia" w:hAnsiTheme="minorEastAsia"/>
                <w:kern w:val="0"/>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6" w:hRule="atLeast"/>
        </w:trPr>
        <w:tc>
          <w:tcPr>
            <w:tcW w:w="3971" w:type="dxa"/>
            <w:gridSpan w:val="2"/>
            <w:tcBorders>
              <w:top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自治区紧缺专业建设项目</w:t>
            </w:r>
          </w:p>
        </w:tc>
        <w:tc>
          <w:tcPr>
            <w:tcW w:w="3650" w:type="dxa"/>
            <w:tcBorders>
              <w:top w:val="single" w:color="auto" w:sz="4" w:space="0"/>
            </w:tcBorders>
          </w:tcPr>
          <w:p>
            <w:pPr>
              <w:spacing w:line="440" w:lineRule="exact"/>
              <w:ind w:firstLine="0"/>
              <w:rPr>
                <w:rFonts w:cs="宋体" w:asciiTheme="minorEastAsia" w:hAnsiTheme="minorEastAsia"/>
                <w:kern w:val="0"/>
                <w:sz w:val="24"/>
                <w:szCs w:val="24"/>
              </w:rPr>
            </w:pPr>
            <w:r>
              <w:rPr>
                <w:rFonts w:hint="eastAsia" w:cs="宋体" w:asciiTheme="minorEastAsia" w:hAnsiTheme="minorEastAsia"/>
                <w:kern w:val="0"/>
                <w:sz w:val="24"/>
                <w:szCs w:val="24"/>
              </w:rPr>
              <w:t>动物科学、水利水电工程、动物医学、食品科学与工程、种子科学与工程、农业水利工程、农业资源与环境、设施农业科学与工程、林学、机械设计制造及其自动化、农业机械化及其自动化</w:t>
            </w:r>
          </w:p>
        </w:tc>
        <w:tc>
          <w:tcPr>
            <w:tcW w:w="1092" w:type="dxa"/>
            <w:tcBorders>
              <w:top w:val="single" w:color="auto" w:sz="4" w:space="0"/>
              <w:bottom w:val="single" w:color="auto" w:sz="4" w:space="0"/>
            </w:tcBorders>
            <w:vAlign w:val="center"/>
          </w:tcPr>
          <w:p>
            <w:pPr>
              <w:spacing w:line="440" w:lineRule="exact"/>
              <w:ind w:firstLine="0"/>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r>
    </w:tbl>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以上材料由学院自行设计内容和组织材料，自行存放。</w:t>
      </w:r>
    </w:p>
    <w:p>
      <w:pPr>
        <w:spacing w:line="460" w:lineRule="exact"/>
        <w:rPr>
          <w:rFonts w:asciiTheme="minorEastAsia" w:hAnsiTheme="minorEastAsia"/>
          <w:b/>
          <w:sz w:val="28"/>
          <w:szCs w:val="28"/>
        </w:rPr>
      </w:pPr>
      <w:r>
        <w:rPr>
          <w:rFonts w:hint="eastAsia" w:asciiTheme="minorEastAsia" w:hAnsiTheme="minorEastAsia"/>
          <w:b/>
          <w:sz w:val="28"/>
          <w:szCs w:val="28"/>
        </w:rPr>
        <w:t>建议：所有教学单位基于目前已备好的支撑材料，参考上述专业材料要求提前汇集整理好学院整体支撑材料，提前汇编或临时根据专家兴趣点要求汇编装订。</w:t>
      </w:r>
    </w:p>
    <w:p>
      <w:pPr>
        <w:spacing w:line="460" w:lineRule="exact"/>
        <w:rPr>
          <w:rFonts w:asciiTheme="minorEastAsia" w:hAnsiTheme="minorEastAsia"/>
          <w:b/>
          <w:sz w:val="28"/>
          <w:szCs w:val="28"/>
        </w:rPr>
      </w:pPr>
      <w:r>
        <w:rPr>
          <w:rFonts w:hint="eastAsia" w:asciiTheme="minorEastAsia" w:hAnsiTheme="minorEastAsia"/>
          <w:b/>
          <w:sz w:val="28"/>
          <w:szCs w:val="28"/>
        </w:rPr>
        <w:t>5、教学档案材料再梳理</w:t>
      </w:r>
    </w:p>
    <w:p>
      <w:pPr>
        <w:spacing w:line="460" w:lineRule="exact"/>
        <w:rPr>
          <w:rFonts w:asciiTheme="minorEastAsia" w:hAnsiTheme="minorEastAsia"/>
          <w:sz w:val="28"/>
          <w:szCs w:val="28"/>
        </w:rPr>
      </w:pPr>
      <w:r>
        <w:rPr>
          <w:rFonts w:hint="eastAsia" w:asciiTheme="minorEastAsia" w:hAnsiTheme="minorEastAsia"/>
          <w:b/>
          <w:sz w:val="28"/>
          <w:szCs w:val="28"/>
        </w:rPr>
        <w:t>（1）梳理毕业论文题目目录。</w:t>
      </w:r>
      <w:r>
        <w:rPr>
          <w:rFonts w:hint="eastAsia" w:asciiTheme="minorEastAsia" w:hAnsiTheme="minorEastAsia"/>
          <w:sz w:val="28"/>
          <w:szCs w:val="28"/>
        </w:rPr>
        <w:t>对因表达不准确，误导为重复论文题目的必须整改。自查2015-2017年度毕业论文题目重复情况，从目录上避免出现不是重复、误写成重复标题的情况。</w:t>
      </w:r>
    </w:p>
    <w:p>
      <w:pPr>
        <w:spacing w:line="460" w:lineRule="exact"/>
        <w:rPr>
          <w:rFonts w:asciiTheme="minorEastAsia" w:hAnsiTheme="minorEastAsia"/>
          <w:sz w:val="28"/>
          <w:szCs w:val="28"/>
        </w:rPr>
      </w:pPr>
      <w:r>
        <w:rPr>
          <w:rFonts w:hint="eastAsia" w:asciiTheme="minorEastAsia" w:hAnsiTheme="minorEastAsia"/>
          <w:b/>
          <w:sz w:val="28"/>
          <w:szCs w:val="28"/>
        </w:rPr>
        <w:t>（2）试卷分析表再整理。</w:t>
      </w:r>
      <w:r>
        <w:rPr>
          <w:rFonts w:hint="eastAsia" w:asciiTheme="minorEastAsia" w:hAnsiTheme="minorEastAsia"/>
          <w:sz w:val="28"/>
          <w:szCs w:val="28"/>
        </w:rPr>
        <w:t>对预评估专家发现的写错内容、写错班级的表格必须整改，并查其他成绩分析表是否有类似情况。</w:t>
      </w:r>
    </w:p>
    <w:p>
      <w:pPr>
        <w:spacing w:line="460" w:lineRule="exact"/>
        <w:rPr>
          <w:rFonts w:asciiTheme="minorEastAsia" w:hAnsiTheme="minorEastAsia"/>
          <w:b/>
          <w:sz w:val="28"/>
          <w:szCs w:val="28"/>
        </w:rPr>
      </w:pPr>
      <w:r>
        <w:rPr>
          <w:rFonts w:hint="eastAsia" w:asciiTheme="minorEastAsia" w:hAnsiTheme="minorEastAsia"/>
          <w:b/>
          <w:sz w:val="28"/>
          <w:szCs w:val="28"/>
        </w:rPr>
        <w:t>6、理顺论文指导答辩与正式评估工作的协调关系，做好预案</w:t>
      </w:r>
    </w:p>
    <w:p>
      <w:pPr>
        <w:spacing w:line="460" w:lineRule="exact"/>
        <w:rPr>
          <w:rFonts w:asciiTheme="minorEastAsia" w:hAnsiTheme="minorEastAsia"/>
          <w:sz w:val="28"/>
          <w:szCs w:val="28"/>
        </w:rPr>
      </w:pPr>
      <w:r>
        <w:rPr>
          <w:rFonts w:hint="eastAsia" w:asciiTheme="minorEastAsia" w:hAnsiTheme="minorEastAsia"/>
          <w:sz w:val="28"/>
          <w:szCs w:val="28"/>
        </w:rPr>
        <w:t>正式评估恰逢毕业答辩阶段，请各教学单位根据专业情况、自身条件与本学期各项工作总体安排，尽量在不影响正常教学计划的基础上协调评估工作与答辩工作，做好本单位教师办公室秩序管理预案，避免因指导毕业论文在学院产生学生拥堵、混乱的情况。</w:t>
      </w:r>
    </w:p>
    <w:p>
      <w:pPr>
        <w:spacing w:line="460" w:lineRule="exact"/>
        <w:rPr>
          <w:rFonts w:asciiTheme="minorEastAsia" w:hAnsiTheme="minorEastAsia"/>
          <w:sz w:val="28"/>
          <w:szCs w:val="28"/>
        </w:rPr>
      </w:pPr>
      <w:r>
        <w:rPr>
          <w:rFonts w:hint="eastAsia" w:asciiTheme="minorEastAsia" w:hAnsiTheme="minorEastAsia"/>
          <w:sz w:val="28"/>
          <w:szCs w:val="28"/>
        </w:rPr>
        <w:t>临近教育部本科教学工作审核评估，希望各教学单位能克服种种困难，协调好各类工作，投入更多的精力和热情，一如既往地做好教书育人工作，切实将我校本科教学质量与人才培养水平提升一大步。</w:t>
      </w:r>
    </w:p>
    <w:p>
      <w:pPr>
        <w:spacing w:line="440" w:lineRule="exact"/>
        <w:ind w:firstLine="6440" w:firstLineChars="2300"/>
        <w:rPr>
          <w:rFonts w:asciiTheme="minorEastAsia" w:hAnsiTheme="minorEastAsia"/>
          <w:sz w:val="28"/>
          <w:szCs w:val="28"/>
        </w:rPr>
      </w:pPr>
    </w:p>
    <w:p>
      <w:pPr>
        <w:spacing w:line="460" w:lineRule="exact"/>
        <w:ind w:firstLine="6350" w:firstLineChars="2268"/>
        <w:rPr>
          <w:rFonts w:hint="eastAsia" w:asciiTheme="minorEastAsia" w:hAnsiTheme="minorEastAsia"/>
          <w:sz w:val="28"/>
          <w:szCs w:val="28"/>
        </w:rPr>
      </w:pPr>
    </w:p>
    <w:p>
      <w:pPr>
        <w:spacing w:line="460" w:lineRule="exact"/>
        <w:ind w:firstLine="6350" w:firstLineChars="2268"/>
        <w:rPr>
          <w:rFonts w:asciiTheme="minorEastAsia" w:hAnsiTheme="minorEastAsia"/>
          <w:sz w:val="28"/>
          <w:szCs w:val="28"/>
        </w:rPr>
      </w:pPr>
      <w:r>
        <w:rPr>
          <w:rFonts w:hint="eastAsia" w:asciiTheme="minorEastAsia" w:hAnsiTheme="minorEastAsia"/>
          <w:sz w:val="28"/>
          <w:szCs w:val="28"/>
        </w:rPr>
        <w:t>教务处</w:t>
      </w:r>
    </w:p>
    <w:p>
      <w:pPr>
        <w:spacing w:line="440" w:lineRule="exact"/>
        <w:ind w:firstLine="5790" w:firstLineChars="2068"/>
        <w:rPr>
          <w:rFonts w:asciiTheme="minorEastAsia" w:hAnsiTheme="minorEastAsia"/>
          <w:sz w:val="28"/>
          <w:szCs w:val="28"/>
        </w:rPr>
      </w:pPr>
      <w:r>
        <w:rPr>
          <w:rFonts w:hint="eastAsia" w:asciiTheme="minorEastAsia" w:hAnsiTheme="minorEastAsia"/>
          <w:sz w:val="28"/>
          <w:szCs w:val="28"/>
        </w:rPr>
        <w:t>2018年3月28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A7A86"/>
    <w:rsid w:val="0D8A7A86"/>
    <w:rsid w:val="322C77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567"/>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widowControl w:val="0"/>
      <w:spacing w:line="520" w:lineRule="exact"/>
      <w:ind w:left="718" w:firstLine="480"/>
      <w:jc w:val="both"/>
    </w:pPr>
    <w:rPr>
      <w:rFonts w:ascii="楷体_GB2312" w:hAnsi="Times New Roman" w:eastAsia="楷体_GB2312" w:cs="Times New Roman"/>
      <w:sz w:val="24"/>
      <w:szCs w:val="20"/>
    </w:rPr>
  </w:style>
  <w:style w:type="table" w:customStyle="1" w:styleId="5">
    <w:name w:val="样式2"/>
    <w:basedOn w:val="4"/>
    <w:qFormat/>
    <w:uiPriority w:val="0"/>
    <w:tblPr>
      <w:tblBorders>
        <w:top w:val="single" w:color="auto" w:sz="4" w:space="0"/>
        <w:bottom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2018-03-28T07:00:00Z</dcterms:created>
  <dc:creator>绿肥红瘦1388322149</dc:creator>
  <cp:lastModifiedBy>绿肥红瘦1388322149</cp:lastModifiedBy>
  <dcterms:modified xsi:type="dcterms:W3CDTF">2018-04-04T11:32:23Z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